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adjustRightInd w:val="0"/>
        <w:snapToGrid w:val="0"/>
        <w:jc w:val="center"/>
        <w:outlineLvl w:val="0"/>
        <w:rPr>
          <w:rFonts w:hint="default" w:ascii="Times New Roman" w:hAnsi="Times New Roman" w:eastAsia="方正小标宋_GBK" w:cs="Times New Roman"/>
          <w:bCs/>
          <w:color w:val="auto"/>
          <w:sz w:val="72"/>
          <w:szCs w:val="72"/>
        </w:rPr>
      </w:pPr>
      <w:r>
        <w:rPr>
          <w:rFonts w:hint="default" w:ascii="Times New Roman" w:hAnsi="Times New Roman" w:eastAsia="方正小标宋_GBK" w:cs="Times New Roman"/>
          <w:bCs/>
          <w:color w:val="auto"/>
          <w:sz w:val="72"/>
          <w:szCs w:val="72"/>
        </w:rPr>
        <w:t>建设项目环境影响报告表</w:t>
      </w:r>
    </w:p>
    <w:p>
      <w:pPr>
        <w:adjustRightInd w:val="0"/>
        <w:snapToGrid w:val="0"/>
        <w:spacing w:before="192" w:beforeLines="80"/>
        <w:jc w:val="center"/>
        <w:rPr>
          <w:rFonts w:hint="default" w:ascii="Times New Roman" w:hAnsi="Times New Roman" w:eastAsia="楷体_GB2312" w:cs="Times New Roman"/>
          <w:bCs/>
          <w:color w:val="auto"/>
          <w:sz w:val="48"/>
          <w:szCs w:val="48"/>
        </w:rPr>
      </w:pPr>
      <w:r>
        <w:rPr>
          <w:rFonts w:hint="default" w:ascii="Times New Roman" w:hAnsi="Times New Roman" w:eastAsia="楷体_GB2312" w:cs="Times New Roman"/>
          <w:bCs/>
          <w:color w:val="auto"/>
          <w:sz w:val="48"/>
          <w:szCs w:val="48"/>
        </w:rPr>
        <w:t>（污染影响类）</w:t>
      </w:r>
    </w:p>
    <w:p>
      <w:pPr>
        <w:adjustRightInd w:val="0"/>
        <w:snapToGrid w:val="0"/>
        <w:spacing w:line="288" w:lineRule="auto"/>
        <w:jc w:val="center"/>
        <w:outlineLvl w:val="0"/>
        <w:rPr>
          <w:rFonts w:hint="default" w:ascii="Times New Roman" w:hAnsi="Times New Roman" w:eastAsia="华文仿宋" w:cs="Times New Roman"/>
          <w:color w:val="auto"/>
          <w:kern w:val="44"/>
          <w:sz w:val="44"/>
          <w:szCs w:val="44"/>
        </w:rPr>
      </w:pPr>
    </w:p>
    <w:p>
      <w:pPr>
        <w:jc w:val="center"/>
        <w:rPr>
          <w:rFonts w:hint="default" w:ascii="Times New Roman" w:hAnsi="Times New Roman" w:eastAsia="仿宋" w:cs="Times New Roman"/>
          <w:color w:val="auto"/>
          <w:sz w:val="52"/>
          <w:szCs w:val="52"/>
        </w:rPr>
      </w:pPr>
    </w:p>
    <w:p>
      <w:pPr>
        <w:ind w:firstLine="1040"/>
        <w:rPr>
          <w:rFonts w:hint="default" w:ascii="Times New Roman" w:hAnsi="Times New Roman" w:eastAsia="仿宋" w:cs="Times New Roman"/>
          <w:color w:val="auto"/>
          <w:sz w:val="44"/>
          <w:szCs w:val="44"/>
        </w:rPr>
      </w:pPr>
    </w:p>
    <w:p>
      <w:pPr>
        <w:ind w:firstLine="1040"/>
        <w:rPr>
          <w:rFonts w:hint="default" w:ascii="Times New Roman" w:hAnsi="Times New Roman" w:eastAsia="仿宋" w:cs="Times New Roman"/>
          <w:color w:val="auto"/>
          <w:sz w:val="44"/>
          <w:szCs w:val="44"/>
        </w:rPr>
      </w:pPr>
    </w:p>
    <w:p>
      <w:pPr>
        <w:ind w:firstLine="1040"/>
        <w:rPr>
          <w:rFonts w:hint="default" w:ascii="Times New Roman" w:hAnsi="Times New Roman" w:eastAsia="仿宋" w:cs="Times New Roman"/>
          <w:color w:val="auto"/>
          <w:sz w:val="44"/>
          <w:szCs w:val="44"/>
        </w:rPr>
      </w:pPr>
    </w:p>
    <w:p>
      <w:pPr>
        <w:ind w:firstLine="1040"/>
        <w:rPr>
          <w:rFonts w:hint="default" w:ascii="Times New Roman" w:hAnsi="Times New Roman" w:eastAsia="仿宋" w:cs="Times New Roman"/>
          <w:color w:val="auto"/>
          <w:sz w:val="44"/>
          <w:szCs w:val="44"/>
        </w:rPr>
      </w:pPr>
    </w:p>
    <w:p>
      <w:pPr>
        <w:adjustRightInd w:val="0"/>
        <w:snapToGrid w:val="0"/>
        <w:spacing w:line="288" w:lineRule="auto"/>
        <w:ind w:firstLine="1080" w:firstLineChars="300"/>
        <w:rPr>
          <w:rFonts w:hint="default" w:ascii="Times New Roman" w:hAnsi="Times New Roman" w:eastAsia="仿宋_GB2312" w:cs="Times New Roman"/>
          <w:color w:val="auto"/>
          <w:sz w:val="36"/>
          <w:szCs w:val="36"/>
          <w:u w:val="single"/>
          <w:lang w:val="en-US"/>
        </w:rPr>
      </w:pPr>
      <w:r>
        <w:rPr>
          <w:rFonts w:hint="default" w:ascii="Times New Roman" w:hAnsi="Times New Roman" w:eastAsia="仿宋_GB2312" w:cs="Times New Roman"/>
          <w:color w:val="auto"/>
          <w:sz w:val="36"/>
          <w:szCs w:val="36"/>
        </w:rPr>
        <w:t xml:space="preserve">项目名称： </w:t>
      </w:r>
      <w:r>
        <w:rPr>
          <w:rFonts w:hint="default" w:ascii="Times New Roman" w:hAnsi="Times New Roman" w:eastAsia="仿宋_GB2312" w:cs="Times New Roman"/>
          <w:color w:val="auto"/>
          <w:sz w:val="36"/>
          <w:szCs w:val="36"/>
          <w:u w:val="single"/>
        </w:rPr>
        <w:t xml:space="preserve">  </w:t>
      </w:r>
      <w:r>
        <w:rPr>
          <w:rFonts w:hint="eastAsia" w:eastAsia="仿宋_GB2312" w:cs="Times New Roman"/>
          <w:color w:val="auto"/>
          <w:sz w:val="36"/>
          <w:szCs w:val="36"/>
          <w:u w:val="single"/>
          <w:lang w:val="en-US" w:eastAsia="zh-CN"/>
        </w:rPr>
        <w:t xml:space="preserve">西安康护医院建设项目      </w:t>
      </w:r>
    </w:p>
    <w:p>
      <w:pPr>
        <w:adjustRightInd w:val="0"/>
        <w:snapToGrid w:val="0"/>
        <w:spacing w:line="288" w:lineRule="auto"/>
        <w:ind w:firstLine="1080" w:firstLineChars="300"/>
        <w:rPr>
          <w:rFonts w:hint="eastAsia" w:eastAsia="仿宋_GB2312" w:cs="Times New Roman"/>
          <w:color w:val="auto"/>
          <w:sz w:val="36"/>
          <w:szCs w:val="36"/>
          <w:u w:val="single"/>
          <w:lang w:val="en-US" w:eastAsia="zh-CN"/>
        </w:rPr>
      </w:pPr>
      <w:r>
        <w:rPr>
          <w:rFonts w:hint="default" w:ascii="Times New Roman" w:hAnsi="Times New Roman" w:eastAsia="仿宋_GB2312" w:cs="Times New Roman"/>
          <w:color w:val="auto"/>
          <w:sz w:val="36"/>
          <w:szCs w:val="36"/>
        </w:rPr>
        <w:t>建设单位（盖章）：</w:t>
      </w:r>
      <w:r>
        <w:rPr>
          <w:rFonts w:hint="default" w:ascii="Times New Roman" w:hAnsi="Times New Roman" w:eastAsia="仿宋_GB2312" w:cs="Times New Roman"/>
          <w:color w:val="auto"/>
          <w:sz w:val="36"/>
          <w:szCs w:val="36"/>
          <w:u w:val="single"/>
        </w:rPr>
        <w:t xml:space="preserve"> </w:t>
      </w:r>
      <w:r>
        <w:rPr>
          <w:rFonts w:hint="eastAsia" w:eastAsia="仿宋_GB2312" w:cs="Times New Roman"/>
          <w:color w:val="auto"/>
          <w:sz w:val="36"/>
          <w:szCs w:val="36"/>
          <w:u w:val="single"/>
          <w:lang w:val="en-US" w:eastAsia="zh-CN"/>
        </w:rPr>
        <w:t>西安康护医院管理有限</w:t>
      </w:r>
    </w:p>
    <w:p>
      <w:pPr>
        <w:adjustRightInd w:val="0"/>
        <w:snapToGrid w:val="0"/>
        <w:spacing w:line="288" w:lineRule="auto"/>
        <w:ind w:firstLine="2880" w:firstLineChars="800"/>
        <w:rPr>
          <w:rFonts w:hint="default" w:ascii="Times New Roman" w:hAnsi="Times New Roman" w:eastAsia="仿宋_GB2312" w:cs="Times New Roman"/>
          <w:color w:val="auto"/>
          <w:sz w:val="36"/>
          <w:szCs w:val="36"/>
          <w:u w:val="single"/>
        </w:rPr>
      </w:pPr>
      <w:r>
        <w:rPr>
          <w:rFonts w:hint="eastAsia" w:eastAsia="仿宋_GB2312" w:cs="Times New Roman"/>
          <w:color w:val="auto"/>
          <w:sz w:val="36"/>
          <w:szCs w:val="36"/>
          <w:u w:val="single"/>
          <w:lang w:val="en-US" w:eastAsia="zh-CN"/>
        </w:rPr>
        <w:t>公司</w:t>
      </w:r>
      <w:r>
        <w:rPr>
          <w:rFonts w:hint="eastAsia" w:ascii="Times New Roman" w:hAnsi="Times New Roman" w:eastAsia="仿宋_GB2312" w:cs="Times New Roman"/>
          <w:color w:val="auto"/>
          <w:sz w:val="36"/>
          <w:szCs w:val="36"/>
          <w:u w:val="single"/>
          <w:lang w:val="en-US" w:eastAsia="zh-CN"/>
        </w:rPr>
        <w:t xml:space="preserve">    </w:t>
      </w:r>
      <w:r>
        <w:rPr>
          <w:rFonts w:hint="eastAsia" w:eastAsia="仿宋_GB2312" w:cs="Times New Roman"/>
          <w:color w:val="auto"/>
          <w:sz w:val="36"/>
          <w:szCs w:val="36"/>
          <w:u w:val="single"/>
          <w:lang w:val="en-US" w:eastAsia="zh-CN"/>
        </w:rPr>
        <w:t xml:space="preserve"> </w:t>
      </w:r>
      <w:r>
        <w:rPr>
          <w:rFonts w:hint="eastAsia" w:ascii="Times New Roman" w:hAnsi="Times New Roman" w:eastAsia="仿宋_GB2312" w:cs="Times New Roman"/>
          <w:color w:val="auto"/>
          <w:sz w:val="36"/>
          <w:szCs w:val="36"/>
          <w:u w:val="single"/>
          <w:lang w:val="en-US" w:eastAsia="zh-CN"/>
        </w:rPr>
        <w:t xml:space="preserve">  </w:t>
      </w:r>
      <w:r>
        <w:rPr>
          <w:rFonts w:hint="default" w:ascii="Times New Roman" w:hAnsi="Times New Roman" w:eastAsia="仿宋_GB2312" w:cs="Times New Roman"/>
          <w:color w:val="auto"/>
          <w:sz w:val="36"/>
          <w:szCs w:val="36"/>
          <w:u w:val="single"/>
        </w:rPr>
        <w:t xml:space="preserve"> </w:t>
      </w:r>
    </w:p>
    <w:p>
      <w:pPr>
        <w:adjustRightInd w:val="0"/>
        <w:snapToGrid w:val="0"/>
        <w:spacing w:line="288" w:lineRule="auto"/>
        <w:ind w:firstLine="104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编制日期：</w:t>
      </w:r>
      <w:r>
        <w:rPr>
          <w:rFonts w:hint="default" w:ascii="Times New Roman" w:hAnsi="Times New Roman" w:eastAsia="仿宋_GB2312" w:cs="Times New Roman"/>
          <w:color w:val="auto"/>
          <w:sz w:val="36"/>
          <w:szCs w:val="36"/>
          <w:u w:val="single"/>
        </w:rPr>
        <w:t xml:space="preserve">   </w:t>
      </w:r>
      <w:r>
        <w:rPr>
          <w:rFonts w:hint="default" w:ascii="Times New Roman" w:hAnsi="Times New Roman" w:eastAsia="仿宋_GB2312" w:cs="Times New Roman"/>
          <w:color w:val="auto"/>
          <w:sz w:val="36"/>
          <w:szCs w:val="36"/>
          <w:u w:val="single"/>
          <w:lang w:val="en-US" w:eastAsia="zh-CN"/>
        </w:rPr>
        <w:t>二〇二</w:t>
      </w:r>
      <w:r>
        <w:rPr>
          <w:rFonts w:hint="eastAsia" w:eastAsia="仿宋_GB2312" w:cs="Times New Roman"/>
          <w:color w:val="auto"/>
          <w:sz w:val="36"/>
          <w:szCs w:val="36"/>
          <w:u w:val="single"/>
          <w:lang w:val="en-US" w:eastAsia="zh-CN"/>
        </w:rPr>
        <w:t>二</w:t>
      </w:r>
      <w:r>
        <w:rPr>
          <w:rFonts w:hint="default" w:ascii="Times New Roman" w:hAnsi="Times New Roman" w:eastAsia="仿宋_GB2312" w:cs="Times New Roman"/>
          <w:color w:val="auto"/>
          <w:sz w:val="36"/>
          <w:szCs w:val="36"/>
          <w:u w:val="single"/>
          <w:lang w:val="en-US" w:eastAsia="zh-CN"/>
        </w:rPr>
        <w:t>年</w:t>
      </w:r>
      <w:r>
        <w:rPr>
          <w:rFonts w:hint="eastAsia" w:eastAsia="仿宋_GB2312" w:cs="Times New Roman"/>
          <w:color w:val="auto"/>
          <w:sz w:val="36"/>
          <w:szCs w:val="36"/>
          <w:u w:val="single"/>
          <w:lang w:val="en-US" w:eastAsia="zh-CN"/>
        </w:rPr>
        <w:t>六</w:t>
      </w:r>
      <w:r>
        <w:rPr>
          <w:rFonts w:hint="default" w:ascii="Times New Roman" w:hAnsi="Times New Roman" w:eastAsia="仿宋_GB2312" w:cs="Times New Roman"/>
          <w:color w:val="auto"/>
          <w:sz w:val="36"/>
          <w:szCs w:val="36"/>
          <w:u w:val="single"/>
          <w:lang w:val="en-US" w:eastAsia="zh-CN"/>
        </w:rPr>
        <w:t>月</w:t>
      </w:r>
      <w:r>
        <w:rPr>
          <w:rFonts w:hint="default" w:ascii="Times New Roman" w:hAnsi="Times New Roman" w:eastAsia="仿宋_GB2312" w:cs="Times New Roman"/>
          <w:color w:val="auto"/>
          <w:sz w:val="36"/>
          <w:szCs w:val="36"/>
          <w:u w:val="single"/>
        </w:rPr>
        <w:t xml:space="preserve">      </w:t>
      </w:r>
      <w:r>
        <w:rPr>
          <w:rFonts w:hint="eastAsia" w:eastAsia="仿宋_GB2312" w:cs="Times New Roman"/>
          <w:color w:val="auto"/>
          <w:sz w:val="36"/>
          <w:szCs w:val="36"/>
          <w:u w:val="single"/>
          <w:lang w:val="en-US" w:eastAsia="zh-CN"/>
        </w:rPr>
        <w:t xml:space="preserve">  </w:t>
      </w:r>
      <w:r>
        <w:rPr>
          <w:rFonts w:hint="default" w:ascii="Times New Roman" w:hAnsi="Times New Roman" w:eastAsia="仿宋_GB2312" w:cs="Times New Roman"/>
          <w:color w:val="auto"/>
          <w:sz w:val="36"/>
          <w:szCs w:val="36"/>
          <w:u w:val="single"/>
        </w:rPr>
        <w:t xml:space="preserve">    </w:t>
      </w:r>
    </w:p>
    <w:p>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0" w:name="_Hlk57884087"/>
    </w:p>
    <w:p>
      <w:pPr>
        <w:adjustRightInd w:val="0"/>
        <w:snapToGrid w:val="0"/>
        <w:spacing w:line="288" w:lineRule="auto"/>
        <w:rPr>
          <w:rFonts w:hint="default" w:ascii="Times New Roman" w:hAnsi="Times New Roman" w:eastAsia="仿宋_GB2312" w:cs="Times New Roman"/>
          <w:color w:val="auto"/>
          <w:sz w:val="36"/>
          <w:szCs w:val="36"/>
        </w:rPr>
      </w:pPr>
    </w:p>
    <w:bookmarkEnd w:id="0"/>
    <w:p>
      <w:pPr>
        <w:adjustRightInd w:val="0"/>
        <w:snapToGrid w:val="0"/>
        <w:spacing w:line="288" w:lineRule="auto"/>
        <w:jc w:val="center"/>
        <w:rPr>
          <w:rFonts w:hint="default" w:ascii="Times New Roman" w:hAnsi="Times New Roman" w:eastAsia="楷体_GB2312" w:cs="Times New Roman"/>
          <w:color w:val="auto"/>
          <w:sz w:val="36"/>
          <w:szCs w:val="36"/>
        </w:rPr>
      </w:pPr>
    </w:p>
    <w:p>
      <w:pPr>
        <w:pStyle w:val="42"/>
        <w:rPr>
          <w:rFonts w:hint="default" w:ascii="Times New Roman" w:hAnsi="Times New Roman" w:eastAsia="楷体_GB2312" w:cs="Times New Roman"/>
          <w:color w:val="auto"/>
          <w:sz w:val="36"/>
          <w:szCs w:val="36"/>
        </w:rPr>
      </w:pPr>
    </w:p>
    <w:p>
      <w:pPr>
        <w:pStyle w:val="42"/>
        <w:rPr>
          <w:rFonts w:hint="default" w:ascii="Times New Roman" w:hAnsi="Times New Roman" w:eastAsia="楷体_GB2312" w:cs="Times New Roman"/>
          <w:color w:val="auto"/>
          <w:sz w:val="36"/>
          <w:szCs w:val="36"/>
        </w:rPr>
      </w:pPr>
    </w:p>
    <w:p>
      <w:pPr>
        <w:pStyle w:val="21"/>
        <w:spacing w:line="360" w:lineRule="auto"/>
        <w:ind w:left="0" w:leftChars="0" w:firstLine="0" w:firstLineChars="0"/>
        <w:jc w:val="center"/>
        <w:rPr>
          <w:rFonts w:hint="default" w:ascii="Times New Roman" w:hAnsi="Times New Roman" w:eastAsia="宋体" w:cs="Times New Roman"/>
          <w:b/>
          <w:color w:val="auto"/>
          <w:sz w:val="32"/>
          <w:szCs w:val="32"/>
          <w:lang w:bidi="ar"/>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eastAsia="宋体" w:cs="Times New Roman"/>
          <w:b/>
          <w:color w:val="auto"/>
          <w:sz w:val="32"/>
          <w:szCs w:val="32"/>
          <w:lang w:bidi="ar"/>
        </w:rPr>
        <w:t>中华人民共和国生态环境部制</w:t>
      </w:r>
    </w:p>
    <w:p>
      <w:pPr>
        <w:rPr>
          <w:rFonts w:hint="default"/>
          <w:color w:val="auto"/>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2"/>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一、建设项目基本情况</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82"/>
        <w:gridCol w:w="1637"/>
        <w:gridCol w:w="221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建设项目名称</w:t>
            </w:r>
          </w:p>
        </w:tc>
        <w:tc>
          <w:tcPr>
            <w:tcW w:w="6488" w:type="dxa"/>
            <w:gridSpan w:val="3"/>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西安康护医院建设项目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项目代码</w:t>
            </w:r>
          </w:p>
        </w:tc>
        <w:tc>
          <w:tcPr>
            <w:tcW w:w="6488" w:type="dxa"/>
            <w:gridSpan w:val="3"/>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建设单位联系人</w:t>
            </w:r>
          </w:p>
        </w:tc>
        <w:tc>
          <w:tcPr>
            <w:tcW w:w="1637"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w:t>
            </w:r>
          </w:p>
        </w:tc>
        <w:tc>
          <w:tcPr>
            <w:tcW w:w="2212" w:type="dxa"/>
            <w:noWrap w:val="0"/>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联系方式</w:t>
            </w:r>
          </w:p>
        </w:tc>
        <w:tc>
          <w:tcPr>
            <w:tcW w:w="2639"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w:t>
            </w:r>
            <w:bookmarkStart w:id="5" w:name="_GoBack"/>
            <w:bookmarkEnd w:id="5"/>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建设地点</w:t>
            </w:r>
          </w:p>
        </w:tc>
        <w:tc>
          <w:tcPr>
            <w:tcW w:w="6488" w:type="dxa"/>
            <w:gridSpan w:val="3"/>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陕西省西安市莲湖区振华北巷7号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地理坐标</w:t>
            </w:r>
          </w:p>
        </w:tc>
        <w:tc>
          <w:tcPr>
            <w:tcW w:w="6488" w:type="dxa"/>
            <w:gridSpan w:val="3"/>
            <w:noWrap w:val="0"/>
            <w:vAlign w:val="center"/>
          </w:tcPr>
          <w:p>
            <w:pPr>
              <w:adjustRightInd w:val="0"/>
              <w:snapToGrid w:val="0"/>
              <w:jc w:val="center"/>
              <w:rPr>
                <w:rFonts w:hint="default"/>
                <w:color w:val="auto"/>
                <w:lang w:val="en-US" w:eastAsia="zh-CN"/>
              </w:rPr>
            </w:pPr>
            <w:r>
              <w:rPr>
                <w:rFonts w:hint="eastAsia"/>
                <w:color w:val="auto"/>
                <w:sz w:val="24"/>
                <w:szCs w:val="24"/>
                <w:lang w:val="en-US" w:eastAsia="zh-CN"/>
              </w:rPr>
              <w:t>经度</w:t>
            </w:r>
            <w:r>
              <w:rPr>
                <w:rFonts w:hint="default"/>
                <w:color w:val="auto"/>
                <w:sz w:val="24"/>
                <w:szCs w:val="24"/>
                <w:lang w:val="en-US" w:eastAsia="zh-CN"/>
              </w:rPr>
              <w:t>108</w:t>
            </w:r>
            <w:r>
              <w:rPr>
                <w:rFonts w:hint="eastAsia"/>
                <w:color w:val="auto"/>
                <w:sz w:val="24"/>
                <w:szCs w:val="24"/>
                <w:lang w:val="en-US" w:eastAsia="zh-CN"/>
              </w:rPr>
              <w:t>°</w:t>
            </w:r>
            <w:r>
              <w:rPr>
                <w:rFonts w:hint="default"/>
                <w:color w:val="auto"/>
                <w:sz w:val="24"/>
                <w:szCs w:val="24"/>
                <w:lang w:val="en-US" w:eastAsia="zh-CN"/>
              </w:rPr>
              <w:t>56</w:t>
            </w:r>
            <w:r>
              <w:rPr>
                <w:rFonts w:hint="eastAsia"/>
                <w:color w:val="auto"/>
                <w:sz w:val="24"/>
                <w:szCs w:val="24"/>
                <w:lang w:val="en-US" w:eastAsia="zh-CN"/>
              </w:rPr>
              <w:t>′</w:t>
            </w:r>
            <w:r>
              <w:rPr>
                <w:rFonts w:hint="default"/>
                <w:color w:val="auto"/>
                <w:sz w:val="24"/>
                <w:szCs w:val="24"/>
                <w:lang w:val="en-US" w:eastAsia="zh-CN"/>
              </w:rPr>
              <w:t>25.53</w:t>
            </w:r>
            <w:r>
              <w:rPr>
                <w:rFonts w:hint="eastAsia"/>
                <w:color w:val="auto"/>
                <w:sz w:val="24"/>
                <w:szCs w:val="24"/>
                <w:lang w:val="en-US" w:eastAsia="zh-CN"/>
              </w:rPr>
              <w:t>5″，纬度34°17′12.762″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国民经济</w:t>
            </w:r>
          </w:p>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行业类别</w:t>
            </w:r>
          </w:p>
        </w:tc>
        <w:tc>
          <w:tcPr>
            <w:tcW w:w="1637"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Q841</w:t>
            </w:r>
            <w:r>
              <w:rPr>
                <w:rFonts w:hint="eastAsia" w:cs="Times New Roman"/>
                <w:color w:val="auto"/>
                <w:sz w:val="24"/>
                <w:szCs w:val="24"/>
                <w:lang w:val="en-US" w:eastAsia="zh-CN"/>
              </w:rPr>
              <w:t>6疗养院</w:t>
            </w:r>
          </w:p>
        </w:tc>
        <w:tc>
          <w:tcPr>
            <w:tcW w:w="2212" w:type="dxa"/>
            <w:noWrap w:val="0"/>
            <w:vAlign w:val="center"/>
          </w:tcPr>
          <w:p>
            <w:pPr>
              <w:adjustRightInd w:val="0"/>
              <w:snapToGrid w:val="0"/>
              <w:jc w:val="center"/>
              <w:rPr>
                <w:rFonts w:hint="default" w:ascii="Times New Roman" w:hAnsi="Times New Roman" w:eastAsia="宋体" w:cs="Times New Roman"/>
                <w:color w:val="auto"/>
                <w:sz w:val="24"/>
                <w:szCs w:val="24"/>
              </w:rPr>
            </w:pPr>
            <w:bookmarkStart w:id="1" w:name="_Hlk49843745"/>
            <w:r>
              <w:rPr>
                <w:rFonts w:hint="default" w:ascii="Times New Roman" w:hAnsi="Times New Roman" w:eastAsia="宋体" w:cs="Times New Roman"/>
                <w:color w:val="auto"/>
                <w:sz w:val="24"/>
                <w:szCs w:val="24"/>
              </w:rPr>
              <w:t>建设项目</w:t>
            </w:r>
          </w:p>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行业类别</w:t>
            </w:r>
            <w:bookmarkEnd w:id="1"/>
          </w:p>
        </w:tc>
        <w:tc>
          <w:tcPr>
            <w:tcW w:w="2639" w:type="dxa"/>
            <w:noWrap w:val="0"/>
            <w:vAlign w:val="center"/>
          </w:tcPr>
          <w:p>
            <w:pPr>
              <w:adjustRightInd w:val="0"/>
              <w:snapToGrid w:val="0"/>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四</w:t>
            </w:r>
            <w:r>
              <w:rPr>
                <w:rFonts w:hint="default" w:ascii="Times New Roman" w:hAnsi="Times New Roman" w:eastAsia="宋体" w:cs="Times New Roman"/>
                <w:color w:val="auto"/>
                <w:sz w:val="24"/>
                <w:szCs w:val="24"/>
                <w:lang w:val="en-US" w:eastAsia="zh-CN"/>
              </w:rPr>
              <w:t>十九、卫生-111.医院、专科防治院（所、站）、社区医疗、卫生院（所、站）、血站、急救中心、妇幼保健院、疗养院等其他卫生机构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建设性质</w:t>
            </w:r>
          </w:p>
        </w:tc>
        <w:tc>
          <w:tcPr>
            <w:tcW w:w="1637" w:type="dxa"/>
            <w:noWrap w:val="0"/>
            <w:vAlign w:val="center"/>
          </w:tcPr>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52"/>
            </w:r>
            <w:r>
              <w:rPr>
                <w:rFonts w:hint="default" w:ascii="Times New Roman" w:hAnsi="Times New Roman" w:eastAsia="宋体" w:cs="Times New Roman"/>
                <w:color w:val="auto"/>
                <w:sz w:val="24"/>
                <w:szCs w:val="24"/>
              </w:rPr>
              <w:t>新建（迁建）</w:t>
            </w:r>
          </w:p>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□改建</w:t>
            </w:r>
          </w:p>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□扩建</w:t>
            </w:r>
          </w:p>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□技术改造</w:t>
            </w:r>
          </w:p>
        </w:tc>
        <w:tc>
          <w:tcPr>
            <w:tcW w:w="2212" w:type="dxa"/>
            <w:noWrap w:val="0"/>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w:t>
            </w:r>
          </w:p>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申报情形</w:t>
            </w:r>
          </w:p>
        </w:tc>
        <w:tc>
          <w:tcPr>
            <w:tcW w:w="2639" w:type="dxa"/>
            <w:noWrap w:val="0"/>
            <w:vAlign w:val="center"/>
          </w:tcPr>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52"/>
            </w:r>
            <w:r>
              <w:rPr>
                <w:rFonts w:hint="default" w:ascii="Times New Roman" w:hAnsi="Times New Roman" w:eastAsia="宋体" w:cs="Times New Roman"/>
                <w:color w:val="auto"/>
                <w:sz w:val="24"/>
                <w:szCs w:val="24"/>
              </w:rPr>
              <w:t xml:space="preserve">首次申报项目             </w:t>
            </w:r>
          </w:p>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□不予批准后再次申报项目</w:t>
            </w:r>
          </w:p>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□超五年重新审核项目     </w:t>
            </w:r>
          </w:p>
          <w:p>
            <w:pPr>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项目审批（核准/</w:t>
            </w:r>
          </w:p>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备案）部门（选填）</w:t>
            </w:r>
          </w:p>
        </w:tc>
        <w:tc>
          <w:tcPr>
            <w:tcW w:w="1637"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w:t>
            </w:r>
          </w:p>
        </w:tc>
        <w:tc>
          <w:tcPr>
            <w:tcW w:w="2212" w:type="dxa"/>
            <w:noWrap w:val="0"/>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项目审批（核准/</w:t>
            </w:r>
          </w:p>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备案）文号（选填）</w:t>
            </w:r>
          </w:p>
        </w:tc>
        <w:tc>
          <w:tcPr>
            <w:tcW w:w="2639"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总投资（万元）</w:t>
            </w:r>
          </w:p>
        </w:tc>
        <w:tc>
          <w:tcPr>
            <w:tcW w:w="1637"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600</w:t>
            </w:r>
          </w:p>
        </w:tc>
        <w:tc>
          <w:tcPr>
            <w:tcW w:w="221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环保投资（万元）</w:t>
            </w:r>
          </w:p>
        </w:tc>
        <w:tc>
          <w:tcPr>
            <w:tcW w:w="2639"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环保投资占比（%）</w:t>
            </w:r>
          </w:p>
        </w:tc>
        <w:tc>
          <w:tcPr>
            <w:tcW w:w="1637"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6.6</w:t>
            </w:r>
          </w:p>
        </w:tc>
        <w:tc>
          <w:tcPr>
            <w:tcW w:w="221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施工工期</w:t>
            </w:r>
          </w:p>
        </w:tc>
        <w:tc>
          <w:tcPr>
            <w:tcW w:w="2639"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是否开工建设</w:t>
            </w:r>
          </w:p>
        </w:tc>
        <w:tc>
          <w:tcPr>
            <w:tcW w:w="1637" w:type="dxa"/>
            <w:noWrap w:val="0"/>
            <w:vAlign w:val="center"/>
          </w:tcPr>
          <w:p>
            <w:pPr>
              <w:adjustRightInd w:val="0"/>
              <w:snapToGrid w:val="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52"/>
            </w:r>
            <w:r>
              <w:rPr>
                <w:rFonts w:hint="default" w:ascii="Times New Roman" w:hAnsi="Times New Roman" w:eastAsia="宋体" w:cs="Times New Roman"/>
                <w:color w:val="auto"/>
                <w:sz w:val="24"/>
                <w:szCs w:val="24"/>
              </w:rPr>
              <w:t>否</w:t>
            </w:r>
          </w:p>
          <w:p>
            <w:pPr>
              <w:adjustRightInd w:val="0"/>
              <w:snapToGrid w:val="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A3"/>
            </w:r>
            <w:r>
              <w:rPr>
                <w:rFonts w:hint="default" w:ascii="Times New Roman" w:hAnsi="Times New Roman" w:eastAsia="宋体" w:cs="Times New Roman"/>
                <w:color w:val="auto"/>
                <w:sz w:val="24"/>
                <w:szCs w:val="24"/>
              </w:rPr>
              <w:t>是：</w:t>
            </w:r>
            <w:r>
              <w:rPr>
                <w:rFonts w:hint="default" w:ascii="Times New Roman" w:hAnsi="Times New Roman" w:eastAsia="宋体" w:cs="Times New Roman"/>
                <w:color w:val="auto"/>
                <w:sz w:val="24"/>
                <w:szCs w:val="24"/>
                <w:u w:val="single"/>
              </w:rPr>
              <w:t xml:space="preserve">     </w:t>
            </w:r>
          </w:p>
        </w:tc>
        <w:tc>
          <w:tcPr>
            <w:tcW w:w="2212" w:type="dxa"/>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pacing w:val="-6"/>
                <w:sz w:val="24"/>
                <w:szCs w:val="24"/>
              </w:rPr>
            </w:pPr>
            <w:r>
              <w:rPr>
                <w:rFonts w:hint="default" w:ascii="Times New Roman" w:hAnsi="Times New Roman" w:eastAsia="宋体" w:cs="Times New Roman"/>
                <w:color w:val="auto"/>
                <w:spacing w:val="-6"/>
                <w:sz w:val="24"/>
                <w:szCs w:val="24"/>
              </w:rPr>
              <w:t>用地</w:t>
            </w:r>
          </w:p>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6"/>
                <w:sz w:val="24"/>
                <w:szCs w:val="24"/>
              </w:rPr>
              <w:t>面积（m</w:t>
            </w:r>
            <w:r>
              <w:rPr>
                <w:rFonts w:hint="default" w:ascii="Times New Roman" w:hAnsi="Times New Roman" w:eastAsia="宋体" w:cs="Times New Roman"/>
                <w:color w:val="auto"/>
                <w:spacing w:val="-6"/>
                <w:sz w:val="24"/>
                <w:szCs w:val="24"/>
                <w:vertAlign w:val="superscript"/>
              </w:rPr>
              <w:t>2</w:t>
            </w:r>
            <w:r>
              <w:rPr>
                <w:rFonts w:hint="default" w:ascii="Times New Roman" w:hAnsi="Times New Roman" w:eastAsia="宋体" w:cs="Times New Roman"/>
                <w:color w:val="auto"/>
                <w:spacing w:val="-6"/>
                <w:sz w:val="24"/>
                <w:szCs w:val="24"/>
              </w:rPr>
              <w:t>）</w:t>
            </w:r>
          </w:p>
        </w:tc>
        <w:tc>
          <w:tcPr>
            <w:tcW w:w="2639" w:type="dxa"/>
            <w:noWrap w:val="0"/>
            <w:vAlign w:val="center"/>
          </w:tcPr>
          <w:p>
            <w:pPr>
              <w:adjustRightInd w:val="0"/>
              <w:snapToGrid w:val="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2491.8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noWrap w:val="0"/>
            <w:vAlign w:val="center"/>
          </w:tcPr>
          <w:p>
            <w:pPr>
              <w:autoSpaceDE w:val="0"/>
              <w:autoSpaceDN w:val="0"/>
              <w:adjustRightInd w:val="0"/>
              <w:snapToGrid w:val="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专项评价设置情况</w:t>
            </w:r>
          </w:p>
        </w:tc>
        <w:tc>
          <w:tcPr>
            <w:tcW w:w="6488" w:type="dxa"/>
            <w:gridSpan w:val="3"/>
            <w:noWrap w:val="0"/>
            <w:vAlign w:val="center"/>
          </w:tcPr>
          <w:p>
            <w:pPr>
              <w:autoSpaceDE w:val="0"/>
              <w:autoSpaceDN w:val="0"/>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4"/>
                <w:szCs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noWrap w:val="0"/>
            <w:vAlign w:val="center"/>
          </w:tcPr>
          <w:p>
            <w:pPr>
              <w:autoSpaceDE w:val="0"/>
              <w:autoSpaceDN w:val="0"/>
              <w:adjustRightInd w:val="0"/>
              <w:snapToGrid w:val="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规划情况</w:t>
            </w:r>
          </w:p>
        </w:tc>
        <w:tc>
          <w:tcPr>
            <w:tcW w:w="6488" w:type="dxa"/>
            <w:gridSpan w:val="3"/>
            <w:noWrap w:val="0"/>
            <w:vAlign w:val="center"/>
          </w:tcPr>
          <w:p>
            <w:pPr>
              <w:autoSpaceDE w:val="0"/>
              <w:autoSpaceDN w:val="0"/>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4"/>
                <w:szCs w:val="24"/>
                <w:highlight w:val="none"/>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noWrap w:val="0"/>
            <w:vAlign w:val="center"/>
          </w:tcPr>
          <w:p>
            <w:pPr>
              <w:adjustRightInd w:val="0"/>
              <w:snapToGrid w:val="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规划环境影响</w:t>
            </w:r>
          </w:p>
          <w:p>
            <w:pPr>
              <w:adjustRightInd w:val="0"/>
              <w:snapToGrid w:val="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评价情况</w:t>
            </w:r>
          </w:p>
        </w:tc>
        <w:tc>
          <w:tcPr>
            <w:tcW w:w="6488" w:type="dxa"/>
            <w:gridSpan w:val="3"/>
            <w:noWrap w:val="0"/>
            <w:vAlign w:val="center"/>
          </w:tcPr>
          <w:p>
            <w:pPr>
              <w:autoSpaceDE w:val="0"/>
              <w:autoSpaceDN w:val="0"/>
              <w:adjustRightInd w:val="0"/>
              <w:snapToGrid w:val="0"/>
              <w:jc w:val="center"/>
              <w:rPr>
                <w:rFonts w:hint="default" w:ascii="Times New Roman" w:hAnsi="Times New Roman" w:eastAsia="宋体" w:cs="Times New Roman"/>
                <w:color w:val="auto"/>
                <w:kern w:val="0"/>
                <w:sz w:val="24"/>
                <w:szCs w:val="24"/>
                <w:lang w:val="en-US" w:eastAsia="zh-CN" w:bidi="ar-SA"/>
              </w:rPr>
            </w:pPr>
            <w:r>
              <w:rPr>
                <w:rFonts w:hint="eastAsia" w:cs="Times New Roman"/>
                <w:color w:val="auto"/>
                <w:sz w:val="24"/>
                <w:szCs w:val="24"/>
                <w:highlight w:val="none"/>
                <w:lang w:val="en-US" w:eastAsia="zh-CN"/>
              </w:rPr>
              <w:t xml:space="preserve"> 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noWrap w:val="0"/>
            <w:vAlign w:val="center"/>
          </w:tcPr>
          <w:p>
            <w:pPr>
              <w:pStyle w:val="62"/>
              <w:bidi w:val="0"/>
              <w:rPr>
                <w:rFonts w:hint="default" w:ascii="Times New Roman" w:hAnsi="Times New Roman" w:eastAsia="宋体" w:cs="Times New Roman"/>
                <w:color w:val="auto"/>
              </w:rPr>
            </w:pPr>
            <w:r>
              <w:rPr>
                <w:rFonts w:hint="default" w:ascii="Times New Roman" w:hAnsi="Times New Roman" w:eastAsia="宋体" w:cs="Times New Roman"/>
                <w:color w:val="auto"/>
              </w:rPr>
              <w:t>规划</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规划环境</w:t>
            </w:r>
          </w:p>
          <w:p>
            <w:pPr>
              <w:pStyle w:val="62"/>
              <w:bidi w:val="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rPr>
              <w:t>影响评价</w:t>
            </w:r>
            <w:r>
              <w:rPr>
                <w:rFonts w:hint="eastAsia" w:ascii="Times New Roman" w:hAnsi="Times New Roman" w:eastAsia="宋体" w:cs="Times New Roman"/>
                <w:color w:val="auto"/>
                <w:lang w:val="en-US" w:eastAsia="zh-CN"/>
              </w:rPr>
              <w:t>及审查意见</w:t>
            </w:r>
            <w:r>
              <w:rPr>
                <w:rFonts w:hint="default" w:ascii="Times New Roman" w:hAnsi="Times New Roman" w:eastAsia="宋体" w:cs="Times New Roman"/>
                <w:color w:val="auto"/>
              </w:rPr>
              <w:t>符合性分析</w:t>
            </w:r>
          </w:p>
        </w:tc>
        <w:tc>
          <w:tcPr>
            <w:tcW w:w="6488" w:type="dxa"/>
            <w:gridSpan w:val="3"/>
            <w:noWrap w:val="0"/>
            <w:vAlign w:val="center"/>
          </w:tcPr>
          <w:p>
            <w:pPr>
              <w:autoSpaceDE w:val="0"/>
              <w:autoSpaceDN w:val="0"/>
              <w:adjustRightInd w:val="0"/>
              <w:snapToGrid w:val="0"/>
              <w:jc w:val="center"/>
              <w:rPr>
                <w:rFonts w:hint="default" w:ascii="Times New Roman" w:hAnsi="Times New Roman" w:eastAsia="宋体" w:cs="Times New Roman"/>
                <w:color w:val="auto"/>
                <w:kern w:val="0"/>
                <w:sz w:val="24"/>
                <w:szCs w:val="24"/>
                <w:lang w:val="en-US" w:eastAsia="zh-CN" w:bidi="ar-SA"/>
              </w:rPr>
            </w:pPr>
            <w:r>
              <w:rPr>
                <w:rFonts w:hint="eastAsia" w:cs="Times New Roman"/>
                <w:color w:val="auto"/>
                <w:kern w:val="0"/>
                <w:sz w:val="24"/>
                <w:szCs w:val="24"/>
                <w:lang w:val="en-US" w:eastAsia="zh-CN" w:bidi="ar-SA"/>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2" w:type="dxa"/>
            <w:noWrap w:val="0"/>
            <w:vAlign w:val="center"/>
          </w:tcPr>
          <w:p>
            <w:pPr>
              <w:autoSpaceDE w:val="0"/>
              <w:autoSpaceDN w:val="0"/>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其他符合性分析</w:t>
            </w:r>
          </w:p>
        </w:tc>
        <w:tc>
          <w:tcPr>
            <w:tcW w:w="6488"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1、项目与相关政策符合性分析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根据《国民经济行业分类》（GB/T 4754-2017）（2019年修改版），本项目属于Q841</w:t>
            </w:r>
            <w:r>
              <w:rPr>
                <w:rFonts w:hint="eastAsia" w:cs="Times New Roman"/>
                <w:color w:val="auto"/>
                <w:sz w:val="24"/>
                <w:szCs w:val="24"/>
                <w:highlight w:val="none"/>
                <w:lang w:val="en-US" w:eastAsia="zh-CN"/>
              </w:rPr>
              <w:t>6疗养</w:t>
            </w:r>
            <w:r>
              <w:rPr>
                <w:rFonts w:hint="eastAsia" w:ascii="Times New Roman" w:hAnsi="Times New Roman" w:eastAsia="宋体" w:cs="Times New Roman"/>
                <w:color w:val="auto"/>
                <w:sz w:val="24"/>
                <w:szCs w:val="24"/>
                <w:highlight w:val="none"/>
                <w:lang w:val="en-US" w:eastAsia="zh-CN"/>
              </w:rPr>
              <w:t>院，根据《产业结构调整指导目录（2019年本）》，拟建项目</w:t>
            </w:r>
            <w:r>
              <w:rPr>
                <w:rFonts w:hint="eastAsia" w:cs="Times New Roman"/>
                <w:color w:val="auto"/>
                <w:sz w:val="24"/>
                <w:szCs w:val="24"/>
                <w:highlight w:val="none"/>
                <w:lang w:val="en-US" w:eastAsia="zh-CN"/>
              </w:rPr>
              <w:t>为“三十七、卫生健康  6、传染病、儿童、精神卫生专科医院和康复医院（中心）、护理院（中心、站）、安宁疗护中心、全科医疗设施建设与服务”</w:t>
            </w:r>
            <w:r>
              <w:rPr>
                <w:rFonts w:hint="eastAsia" w:ascii="Times New Roman" w:hAnsi="Times New Roman" w:eastAsia="宋体" w:cs="Times New Roman"/>
                <w:color w:val="auto"/>
                <w:sz w:val="24"/>
                <w:szCs w:val="24"/>
                <w:highlight w:val="none"/>
                <w:lang w:val="en-US" w:eastAsia="zh-CN"/>
              </w:rPr>
              <w:t>属于鼓励类</w:t>
            </w:r>
            <w:r>
              <w:rPr>
                <w:rFonts w:hint="eastAsia"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；对比《陕西省限制投资类产业指导目录》（陕发改产业[2007]97号），拟建项目不属于限制投资类项目，且本项目所用的设备均不在国家禁止使用的落后、淘汰生产设备之列。</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综上，项目符合国家和地方现行产业政策。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（2）卫生规划</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西安市“十四五”卫生健康事业发展规划》，到2025年，建立与全市经济社会发展水平相适应的基本医疗卫生制度，建立与城市功能定位相匹配的公共卫生与医疗服务体系，全市卫生健康主要指标在副省级城市和国家中心城市中位居第一方阵。全体市民享受到更高水平、更高质量全生命周期健康服务，将西安打造成为高标准区域卫生健康中心。到2025年，80%以上的综合医院、</w:t>
            </w:r>
            <w:r>
              <w:rPr>
                <w:rFonts w:hint="eastAsia" w:cs="Times New Roman"/>
                <w:color w:val="auto"/>
                <w:sz w:val="24"/>
                <w:szCs w:val="24"/>
                <w:highlight w:val="none"/>
                <w:lang w:val="en-US" w:eastAsia="zh-CN"/>
              </w:rPr>
              <w:t>康护医院</w:t>
            </w:r>
            <w:r>
              <w:rPr>
                <w:rFonts w:hint="default" w:ascii="Times New Roman" w:hAnsi="Times New Roman" w:eastAsia="宋体" w:cs="Times New Roman"/>
                <w:color w:val="auto"/>
                <w:sz w:val="24"/>
                <w:szCs w:val="24"/>
                <w:highlight w:val="none"/>
                <w:lang w:val="en-US" w:eastAsia="zh-CN"/>
              </w:rPr>
              <w:t>、护理院和基层医疗卫生机构成为老年友善医疗卫生机构。鼓励医疗卫生机构与养老机构开展协议合作，进一步整合优化基层医疗卫生和养老资源，提供医疗救治、康复护理、生活照料等服务。支持医疗资源丰富地区的二级及以下医疗机构转型，开展康复、护理以及医养结合服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本项目建设有利于提高医院医疗服务社水平，缓解住院、康复病人住院难等问题，将使更多患者得到更优质的医疗保健服务，符合规划要求。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ascii="宋体" w:hAnsi="宋体" w:eastAsia="宋体" w:cs="宋体"/>
                <w:color w:val="auto"/>
                <w:sz w:val="24"/>
                <w:szCs w:val="24"/>
              </w:rPr>
              <w:t>“十四五”优质高效医疗卫生服务体系建设实施方案</w:t>
            </w:r>
            <w:r>
              <w:rPr>
                <w:rFonts w:hint="eastAsia" w:ascii="Times New Roman" w:hAnsi="Times New Roman" w:eastAsia="宋体" w:cs="Times New Roman"/>
                <w:color w:val="auto"/>
                <w:sz w:val="24"/>
                <w:szCs w:val="24"/>
                <w:highlight w:val="none"/>
                <w:lang w:val="en-US" w:eastAsia="zh-CN"/>
              </w:rPr>
              <w:t>》符合性分析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根据</w:t>
            </w:r>
            <w:r>
              <w:rPr>
                <w:rFonts w:hint="eastAsia" w:ascii="Times New Roman" w:hAnsi="Times New Roman" w:eastAsia="宋体" w:cs="Times New Roman"/>
                <w:color w:val="auto"/>
                <w:sz w:val="24"/>
                <w:szCs w:val="24"/>
                <w:highlight w:val="none"/>
                <w:lang w:val="en-US" w:eastAsia="zh-CN"/>
              </w:rPr>
              <w:t>《</w:t>
            </w:r>
            <w:r>
              <w:rPr>
                <w:rFonts w:ascii="宋体" w:hAnsi="宋体" w:eastAsia="宋体" w:cs="宋体"/>
                <w:color w:val="auto"/>
                <w:sz w:val="24"/>
                <w:szCs w:val="24"/>
              </w:rPr>
              <w:t>“十四五”优质高效医疗卫生服务体系建设实施方案</w:t>
            </w:r>
            <w:r>
              <w:rPr>
                <w:rFonts w:hint="eastAsia"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内容，</w:t>
            </w:r>
            <w:r>
              <w:rPr>
                <w:rFonts w:hint="eastAsia" w:ascii="Times New Roman" w:hAnsi="Times New Roman" w:eastAsia="宋体" w:cs="Times New Roman"/>
                <w:color w:val="auto"/>
                <w:sz w:val="24"/>
                <w:szCs w:val="24"/>
                <w:highlight w:val="none"/>
                <w:lang w:val="en-US" w:eastAsia="zh-CN"/>
              </w:rPr>
              <w:t>以地级市为单位，实施“城医联动”项目，通过中央预算内投资引导，带动地方、社会力量投入，支持医疗资源丰富地区盘活资源，将部分有一定规模、床位利用率不高的二级医院转型改建为康复医疗机构和护理院、护理中心，同步完善土地、财税、价格、医保支付、人才等政策工具包，重点为急性期后的神经、创伤等大病患者，老年等失能失智人群，临终关怀患者提供普惠性医疗康复和医疗护理服务，为建立适应人民群众需求的康复、护理体系探索有效路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w:t>
            </w:r>
            <w:r>
              <w:rPr>
                <w:rFonts w:hint="eastAsia" w:cs="Times New Roman"/>
                <w:color w:val="auto"/>
                <w:sz w:val="24"/>
                <w:szCs w:val="24"/>
                <w:highlight w:val="none"/>
                <w:lang w:val="en-US" w:eastAsia="zh-CN"/>
              </w:rPr>
              <w:t>属于康复医疗项目，符合方案内容要求</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（4）《医疗机构管理条例》符合性分析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根据《医疗机构管理条例》可知，机关、企业和事业单位可以根据需要设置医疗机构，并纳入当地医疗机构的设置规划</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本项目符合《西安市2015-2020年医疗机构设置规划》中“重点鼓励发展康复、老年病、儿科、精神卫生、妇产专科、肿瘤六大专科医疗机构”内容要求。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（5）《陕西省医疗机构管理条例实施办法》符合性分析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根据《陕西省医疗机构管理条例实施办法》可知：申请医疗机构执业登记必须填写《医疗机构申请执业登记注册书》，并向登记机关提交环保部门出具的污水、污物、粪便处理排放设施合格的证明。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项目医院设置化粪池+污水处理站对废水进行处理后排入市政管网；生活垃圾及餐饮垃圾分类收集，生活垃圾交由环卫部门处置，餐饮垃圾交由有资质单位收集处置；项目医疗废物设置医疗废物暂存间暂存，经竣工环保验收后方可投入使用，符合政策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2、“三线一单”符合性分析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根据环保部《关于以改善环境质量为核心加强环境影响评价管理的通知》（环环评〔2016〕150号）要求，切实加强环境管理，落实“生态保护红线、环境质量底线、资源利用上线和环境准入负面清单”(简称“三线一单”)约束，建立项目环评审批与规划环评、现有项目环境管理、区域环境质量联动机制，更好地发挥环评制度从源头防范环境污染和生态破坏的作用，加快推进改善环境质量。根据《陕西省人民政府关于加快实施“三线一单”生态环境分区管控的意见》（陕政发[2020]11号），本项目所在区域属于重点管控单元。</w:t>
            </w:r>
          </w:p>
          <w:p>
            <w:pPr>
              <w:pStyle w:val="56"/>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w:t>
            </w:r>
            <w:r>
              <w:rPr>
                <w:rFonts w:hint="eastAsia" w:ascii="Times New Roman" w:hAnsi="Times New Roman" w:eastAsia="宋体" w:cs="Times New Roman"/>
                <w:color w:val="auto"/>
                <w:sz w:val="21"/>
                <w:szCs w:val="21"/>
                <w:highlight w:val="none"/>
              </w:rPr>
              <w:t>1</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 xml:space="preserve">  本项目与“三线一单”的符合性分析表</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01"/>
              <w:gridCol w:w="2490"/>
              <w:gridCol w:w="2153"/>
              <w:gridCol w:w="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7"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序号</w:t>
                  </w:r>
                </w:p>
              </w:tc>
              <w:tc>
                <w:tcPr>
                  <w:tcW w:w="642"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内容</w:t>
                  </w:r>
                </w:p>
              </w:tc>
              <w:tc>
                <w:tcPr>
                  <w:tcW w:w="2071"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要求</w:t>
                  </w:r>
                </w:p>
              </w:tc>
              <w:tc>
                <w:tcPr>
                  <w:tcW w:w="1507"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本项目情况</w:t>
                  </w:r>
                </w:p>
              </w:tc>
              <w:tc>
                <w:tcPr>
                  <w:tcW w:w="471"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07"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642"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val="en-US" w:eastAsia="zh-CN"/>
                    </w:rPr>
                    <w:t>生态保护红线</w:t>
                  </w:r>
                </w:p>
              </w:tc>
              <w:tc>
                <w:tcPr>
                  <w:tcW w:w="2071"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生态保护红线是生态空间范围内具有特殊重要生态功能必须实行强制性严格保护的区域。在生态保护红线范围内，严控各类开发建设活动，依法不予审批新建工业项目和矿产开发项目的环评文件。</w:t>
                  </w:r>
                </w:p>
              </w:tc>
              <w:tc>
                <w:tcPr>
                  <w:tcW w:w="1507"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eastAsia="zh-CN"/>
                    </w:rPr>
                    <w:t>项目位于</w:t>
                  </w:r>
                  <w:r>
                    <w:rPr>
                      <w:rFonts w:hint="eastAsia" w:ascii="Times New Roman" w:hAnsi="Times New Roman" w:eastAsia="宋体" w:cs="Times New Roman"/>
                      <w:color w:val="auto"/>
                      <w:sz w:val="21"/>
                      <w:szCs w:val="21"/>
                      <w:highlight w:val="none"/>
                      <w:vertAlign w:val="baseline"/>
                      <w:lang w:val="en-US" w:eastAsia="zh-CN"/>
                    </w:rPr>
                    <w:t>西安市莲湖区</w:t>
                  </w:r>
                  <w:r>
                    <w:rPr>
                      <w:rFonts w:hint="default" w:ascii="Times New Roman" w:hAnsi="Times New Roman" w:eastAsia="宋体" w:cs="Times New Roman"/>
                      <w:color w:val="auto"/>
                      <w:sz w:val="21"/>
                      <w:szCs w:val="21"/>
                      <w:highlight w:val="none"/>
                      <w:vertAlign w:val="baseline"/>
                      <w:lang w:eastAsia="zh-CN"/>
                    </w:rPr>
                    <w:t>，项目用地性质属于</w:t>
                  </w:r>
                  <w:r>
                    <w:rPr>
                      <w:rFonts w:hint="eastAsia" w:cs="Times New Roman"/>
                      <w:color w:val="auto"/>
                      <w:sz w:val="21"/>
                      <w:szCs w:val="21"/>
                      <w:highlight w:val="none"/>
                      <w:vertAlign w:val="baseline"/>
                      <w:lang w:eastAsia="zh-CN"/>
                    </w:rPr>
                    <w:t>建设用地</w:t>
                  </w:r>
                  <w:r>
                    <w:rPr>
                      <w:rFonts w:hint="default" w:ascii="Times New Roman" w:hAnsi="Times New Roman" w:eastAsia="宋体" w:cs="Times New Roman"/>
                      <w:color w:val="auto"/>
                      <w:sz w:val="21"/>
                      <w:szCs w:val="21"/>
                      <w:highlight w:val="none"/>
                      <w:vertAlign w:val="baseline"/>
                      <w:lang w:eastAsia="zh-CN"/>
                    </w:rPr>
                    <w:t>，项目</w:t>
                  </w:r>
                  <w:r>
                    <w:rPr>
                      <w:rFonts w:hint="default" w:ascii="Times New Roman" w:hAnsi="Times New Roman" w:eastAsia="宋体" w:cs="Times New Roman"/>
                      <w:color w:val="auto"/>
                      <w:sz w:val="21"/>
                      <w:szCs w:val="21"/>
                      <w:highlight w:val="none"/>
                      <w:vertAlign w:val="baseline"/>
                      <w:lang w:val="en-US" w:eastAsia="zh-CN"/>
                    </w:rPr>
                    <w:t>不</w:t>
                  </w:r>
                  <w:r>
                    <w:rPr>
                      <w:rFonts w:hint="eastAsia" w:ascii="Times New Roman" w:hAnsi="Times New Roman" w:eastAsia="宋体" w:cs="Times New Roman"/>
                      <w:color w:val="auto"/>
                      <w:sz w:val="21"/>
                      <w:szCs w:val="21"/>
                      <w:highlight w:val="none"/>
                      <w:vertAlign w:val="baseline"/>
                      <w:lang w:val="en-US" w:eastAsia="zh-CN"/>
                    </w:rPr>
                    <w:t>在</w:t>
                  </w:r>
                  <w:r>
                    <w:rPr>
                      <w:rFonts w:hint="default" w:ascii="Times New Roman" w:hAnsi="Times New Roman" w:eastAsia="宋体" w:cs="Times New Roman"/>
                      <w:color w:val="auto"/>
                      <w:sz w:val="21"/>
                      <w:szCs w:val="21"/>
                      <w:highlight w:val="none"/>
                      <w:vertAlign w:val="baseline"/>
                      <w:lang w:eastAsia="zh-CN"/>
                    </w:rPr>
                    <w:t>生态保护红线内</w:t>
                  </w:r>
                </w:p>
              </w:tc>
              <w:tc>
                <w:tcPr>
                  <w:tcW w:w="471"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307"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642"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环境质量底线</w:t>
                  </w:r>
                </w:p>
              </w:tc>
              <w:tc>
                <w:tcPr>
                  <w:tcW w:w="2071"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环境质量现状超标地区以及未达到环境质量目标考核要求的地区上新项目将受到限制；对环境质量现状超标的地区，项目拟采取的措施不能满足区域环境质量改善目标管理要求的，依法不予审批其环评文件</w:t>
                  </w:r>
                </w:p>
              </w:tc>
              <w:tc>
                <w:tcPr>
                  <w:tcW w:w="1507"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本项目所在区域为西安市</w:t>
                  </w:r>
                  <w:r>
                    <w:rPr>
                      <w:rFonts w:hint="eastAsia" w:ascii="Times New Roman" w:hAnsi="Times New Roman" w:eastAsia="宋体" w:cs="Times New Roman"/>
                      <w:color w:val="auto"/>
                      <w:sz w:val="21"/>
                      <w:szCs w:val="21"/>
                      <w:highlight w:val="none"/>
                      <w:vertAlign w:val="baseline"/>
                      <w:lang w:eastAsia="zh-CN"/>
                    </w:rPr>
                    <w:t>莲湖区</w:t>
                  </w:r>
                  <w:r>
                    <w:rPr>
                      <w:rFonts w:hint="default" w:ascii="Times New Roman" w:hAnsi="Times New Roman" w:eastAsia="宋体" w:cs="Times New Roman"/>
                      <w:color w:val="auto"/>
                      <w:sz w:val="21"/>
                      <w:szCs w:val="21"/>
                      <w:highlight w:val="none"/>
                      <w:vertAlign w:val="baseline"/>
                      <w:lang w:eastAsia="zh-CN"/>
                    </w:rPr>
                    <w:t>，为不达标区；根据工程分析及污染防治分析，项目所采取污染防治措施合理可行，各污染物达标排放，不触及环境质量底线。</w:t>
                  </w:r>
                </w:p>
              </w:tc>
              <w:tc>
                <w:tcPr>
                  <w:tcW w:w="471"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7"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w:t>
                  </w:r>
                </w:p>
              </w:tc>
              <w:tc>
                <w:tcPr>
                  <w:tcW w:w="642"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资源利用上线</w:t>
                  </w:r>
                </w:p>
              </w:tc>
              <w:tc>
                <w:tcPr>
                  <w:tcW w:w="2071"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依据有关资源利用上线要求，即各地区能源、水、土地等资源消耗是不得突破的“天花板”</w:t>
                  </w:r>
                </w:p>
              </w:tc>
              <w:tc>
                <w:tcPr>
                  <w:tcW w:w="1507"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本项目</w:t>
                  </w:r>
                  <w:r>
                    <w:rPr>
                      <w:rFonts w:hint="default" w:ascii="Times New Roman" w:hAnsi="Times New Roman" w:eastAsia="宋体" w:cs="Times New Roman"/>
                      <w:color w:val="auto"/>
                      <w:sz w:val="21"/>
                      <w:szCs w:val="21"/>
                      <w:highlight w:val="none"/>
                      <w:vertAlign w:val="baseline"/>
                      <w:lang w:val="en-US" w:eastAsia="zh-CN"/>
                    </w:rPr>
                    <w:t>为</w:t>
                  </w:r>
                  <w:r>
                    <w:rPr>
                      <w:rFonts w:hint="eastAsia" w:ascii="Times New Roman" w:hAnsi="Times New Roman" w:eastAsia="宋体" w:cs="Times New Roman"/>
                      <w:color w:val="auto"/>
                      <w:sz w:val="21"/>
                      <w:szCs w:val="21"/>
                      <w:highlight w:val="none"/>
                      <w:vertAlign w:val="baseline"/>
                      <w:lang w:val="en-US" w:eastAsia="zh-CN"/>
                    </w:rPr>
                    <w:t>新建</w:t>
                  </w:r>
                  <w:r>
                    <w:rPr>
                      <w:rFonts w:hint="default" w:ascii="Times New Roman" w:hAnsi="Times New Roman" w:eastAsia="宋体" w:cs="Times New Roman"/>
                      <w:color w:val="auto"/>
                      <w:sz w:val="21"/>
                      <w:szCs w:val="21"/>
                      <w:highlight w:val="none"/>
                      <w:vertAlign w:val="baseline"/>
                      <w:lang w:val="en-US" w:eastAsia="zh-CN"/>
                    </w:rPr>
                    <w:t>项目</w:t>
                  </w:r>
                  <w:r>
                    <w:rPr>
                      <w:rFonts w:hint="default" w:ascii="Times New Roman" w:hAnsi="Times New Roman" w:eastAsia="宋体" w:cs="Times New Roman"/>
                      <w:color w:val="auto"/>
                      <w:sz w:val="21"/>
                      <w:szCs w:val="21"/>
                      <w:highlight w:val="none"/>
                      <w:vertAlign w:val="baseline"/>
                      <w:lang w:eastAsia="zh-CN"/>
                    </w:rPr>
                    <w:t>，项目不属于高污染、高能耗</w:t>
                  </w:r>
                  <w:r>
                    <w:rPr>
                      <w:rFonts w:hint="eastAsia" w:ascii="Times New Roman" w:hAnsi="Times New Roman" w:eastAsia="宋体" w:cs="Times New Roman"/>
                      <w:color w:val="auto"/>
                      <w:sz w:val="21"/>
                      <w:szCs w:val="21"/>
                      <w:highlight w:val="none"/>
                      <w:vertAlign w:val="baseline"/>
                      <w:lang w:eastAsia="zh-CN"/>
                    </w:rPr>
                    <w:t>、</w:t>
                  </w:r>
                  <w:r>
                    <w:rPr>
                      <w:rFonts w:hint="default" w:ascii="Times New Roman" w:hAnsi="Times New Roman" w:eastAsia="宋体" w:cs="Times New Roman"/>
                      <w:color w:val="auto"/>
                      <w:sz w:val="21"/>
                      <w:szCs w:val="21"/>
                      <w:highlight w:val="none"/>
                      <w:vertAlign w:val="baseline"/>
                      <w:lang w:eastAsia="zh-CN"/>
                    </w:rPr>
                    <w:t>高水耗的建设项目，符合资源利用上线的要求。</w:t>
                  </w:r>
                </w:p>
              </w:tc>
              <w:tc>
                <w:tcPr>
                  <w:tcW w:w="471"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07"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w:t>
                  </w:r>
                </w:p>
              </w:tc>
              <w:tc>
                <w:tcPr>
                  <w:tcW w:w="642"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生态环境准入清单</w:t>
                  </w:r>
                </w:p>
              </w:tc>
              <w:tc>
                <w:tcPr>
                  <w:tcW w:w="2071"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环境准入负面清单是基于生态保护红线、环境质量底线和资源利用上线，以清单方式列出的禁止、限制等差别化环境准入条件和要求。要在规划环评清单式管理试点的基础上，从布局选址、资源利用率、资源配置方式等方面入手，制定环境准入负面清单，充分发挥负面清单对产业发展和项目准入的指导和约束作用。</w:t>
                  </w:r>
                </w:p>
              </w:tc>
              <w:tc>
                <w:tcPr>
                  <w:tcW w:w="1507" w:type="pct"/>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本项目不在《陕西省重点生态功能区产业准入负面清单》</w:t>
                  </w:r>
                  <w:r>
                    <w:rPr>
                      <w:rFonts w:hint="eastAsia" w:ascii="Times New Roman" w:hAnsi="Times New Roman" w:eastAsia="宋体" w:cs="Times New Roman"/>
                      <w:color w:val="auto"/>
                      <w:sz w:val="21"/>
                      <w:szCs w:val="21"/>
                      <w:highlight w:val="none"/>
                      <w:vertAlign w:val="baseline"/>
                      <w:lang w:eastAsia="zh-CN"/>
                    </w:rPr>
                    <w:t>。</w:t>
                  </w:r>
                </w:p>
              </w:tc>
              <w:tc>
                <w:tcPr>
                  <w:tcW w:w="471" w:type="pc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07" w:type="pct"/>
                  <w:vMerge w:val="restar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5</w:t>
                  </w:r>
                </w:p>
              </w:tc>
              <w:tc>
                <w:tcPr>
                  <w:tcW w:w="4692" w:type="pct"/>
                  <w:gridSpan w:val="4"/>
                  <w:noWrap w:val="0"/>
                  <w:vAlign w:val="center"/>
                </w:tcPr>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《陕西省人民政府关于加快实施“三线一单”生态环境分区管控的意见》（陕政发[2020]11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07" w:type="pct"/>
                  <w:vMerge w:val="continue"/>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p>
              </w:tc>
              <w:tc>
                <w:tcPr>
                  <w:tcW w:w="642" w:type="pct"/>
                  <w:noWrap w:val="0"/>
                  <w:vAlign w:val="center"/>
                </w:tcPr>
                <w:p>
                  <w:pPr>
                    <w:numPr>
                      <w:ilvl w:val="0"/>
                      <w:numId w:val="0"/>
                    </w:numPr>
                    <w:autoSpaceDE w:val="0"/>
                    <w:autoSpaceDN w:val="0"/>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eastAsia="zh-CN"/>
                    </w:rPr>
                    <w:t>重点管控单元</w:t>
                  </w:r>
                </w:p>
              </w:tc>
              <w:tc>
                <w:tcPr>
                  <w:tcW w:w="2071" w:type="pct"/>
                  <w:noWrap w:val="0"/>
                  <w:vAlign w:val="center"/>
                </w:tcPr>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eastAsia="zh-CN"/>
                    </w:rPr>
                    <w:t>重点管控单元以提升资源利用效率、加强污染物减排治理和环境风险防控为重点，解决突出生态环境问题。</w:t>
                  </w:r>
                </w:p>
              </w:tc>
              <w:tc>
                <w:tcPr>
                  <w:tcW w:w="1507" w:type="pct"/>
                  <w:noWrap w:val="0"/>
                  <w:vAlign w:val="center"/>
                </w:tcPr>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eastAsia="zh-CN"/>
                    </w:rPr>
                    <w:t>根据陕西省生态环境管控单元分布图，本项目位于重点管控单元，本项目污染物均采取有效措施，产生的污染物经处理后达标排放，可有效防控环境风险。</w:t>
                  </w:r>
                </w:p>
              </w:tc>
              <w:tc>
                <w:tcPr>
                  <w:tcW w:w="471" w:type="pct"/>
                  <w:noWrap w:val="0"/>
                  <w:vAlign w:val="center"/>
                </w:tcPr>
                <w:p>
                  <w:pPr>
                    <w:numPr>
                      <w:ilvl w:val="0"/>
                      <w:numId w:val="0"/>
                    </w:numPr>
                    <w:autoSpaceDE w:val="0"/>
                    <w:autoSpaceDN w:val="0"/>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07" w:type="pct"/>
                  <w:vMerge w:val="restart"/>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w:t>
                  </w:r>
                </w:p>
              </w:tc>
              <w:tc>
                <w:tcPr>
                  <w:tcW w:w="4692" w:type="pct"/>
                  <w:gridSpan w:val="4"/>
                  <w:noWrap w:val="0"/>
                  <w:vAlign w:val="center"/>
                </w:tcPr>
                <w:p>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eastAsia="zh-CN"/>
                    </w:rPr>
                    <w:t>《西安市人民政府关于印发“三线一单”生态环境分区管控方案的通知》</w:t>
                  </w:r>
                  <w:r>
                    <w:rPr>
                      <w:rFonts w:hint="default" w:ascii="Times New Roman" w:hAnsi="Times New Roman" w:eastAsia="宋体" w:cs="Times New Roman"/>
                      <w:color w:val="auto"/>
                      <w:sz w:val="21"/>
                      <w:szCs w:val="21"/>
                      <w:highlight w:val="none"/>
                      <w:vertAlign w:val="baseline"/>
                      <w:lang w:val="en-US" w:eastAsia="zh-CN"/>
                    </w:rPr>
                    <w:t>（</w:t>
                  </w:r>
                  <w:r>
                    <w:rPr>
                      <w:rFonts w:hint="eastAsia" w:cs="Times New Roman"/>
                      <w:color w:val="auto"/>
                      <w:sz w:val="21"/>
                      <w:szCs w:val="21"/>
                      <w:highlight w:val="none"/>
                      <w:vertAlign w:val="baseline"/>
                      <w:lang w:val="en-US" w:eastAsia="zh-CN"/>
                    </w:rPr>
                    <w:t>市</w:t>
                  </w:r>
                  <w:r>
                    <w:rPr>
                      <w:rFonts w:hint="default" w:ascii="Times New Roman" w:hAnsi="Times New Roman" w:eastAsia="宋体" w:cs="Times New Roman"/>
                      <w:color w:val="auto"/>
                      <w:sz w:val="21"/>
                      <w:szCs w:val="21"/>
                      <w:highlight w:val="none"/>
                      <w:vertAlign w:val="baseline"/>
                      <w:lang w:val="en-US" w:eastAsia="zh-CN"/>
                    </w:rPr>
                    <w:t>政发【2021】22号）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07" w:type="pct"/>
                  <w:vMerge w:val="continue"/>
                  <w:noWrap w:val="0"/>
                  <w:vAlign w:val="center"/>
                </w:tcPr>
                <w:p>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p>
              </w:tc>
              <w:tc>
                <w:tcPr>
                  <w:tcW w:w="642" w:type="pct"/>
                  <w:noWrap w:val="0"/>
                  <w:vAlign w:val="center"/>
                </w:tcPr>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重点管控单元与本项目有关的管控要求摘抄：</w:t>
                  </w:r>
                </w:p>
              </w:tc>
              <w:tc>
                <w:tcPr>
                  <w:tcW w:w="2071" w:type="pct"/>
                  <w:noWrap w:val="0"/>
                  <w:vAlign w:val="center"/>
                </w:tcPr>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（1）大气环境受体敏感区</w:t>
                  </w:r>
                </w:p>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空间约束：1．大气污染防治重点区域严禁新增钢铁、水泥熟料、平板玻璃、炼化产能。</w:t>
                  </w:r>
                </w:p>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污染排放管控：1．区域内保留企业采用先进生产工艺、严格落实污染治理设施，污染物执行超低排放或特别排放限值。</w:t>
                  </w:r>
                </w:p>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3．加大餐饮油烟治理力度，排放油烟的饮食业单位全部安装油烟净化装置并实现达标排放。</w:t>
                  </w:r>
                </w:p>
              </w:tc>
              <w:tc>
                <w:tcPr>
                  <w:tcW w:w="1507" w:type="pct"/>
                  <w:noWrap w:val="0"/>
                  <w:vAlign w:val="center"/>
                </w:tcPr>
                <w:p>
                  <w:pPr>
                    <w:numPr>
                      <w:ilvl w:val="0"/>
                      <w:numId w:val="0"/>
                    </w:numPr>
                    <w:autoSpaceDE w:val="0"/>
                    <w:autoSpaceDN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项目位于重点管控单元，不属于钢铁、水泥熟料、平板玻璃、炼化等行业；项目供暖方式采用</w:t>
                  </w:r>
                  <w:r>
                    <w:rPr>
                      <w:rFonts w:hint="eastAsia" w:cs="Times New Roman"/>
                      <w:color w:val="auto"/>
                      <w:sz w:val="21"/>
                      <w:szCs w:val="21"/>
                      <w:highlight w:val="none"/>
                      <w:vertAlign w:val="baseline"/>
                      <w:lang w:val="en-US" w:eastAsia="zh-CN"/>
                    </w:rPr>
                    <w:t>分体式</w:t>
                  </w:r>
                  <w:r>
                    <w:rPr>
                      <w:rFonts w:hint="default" w:ascii="Times New Roman" w:hAnsi="Times New Roman" w:eastAsia="宋体" w:cs="Times New Roman"/>
                      <w:color w:val="auto"/>
                      <w:sz w:val="21"/>
                      <w:szCs w:val="21"/>
                      <w:highlight w:val="none"/>
                      <w:vertAlign w:val="baseline"/>
                      <w:lang w:eastAsia="zh-CN"/>
                    </w:rPr>
                    <w:t>空调供暖；项目对废气产生环节均采取处理措施，项目食堂设置油烟净化器对油烟进行处理，去除效率为80%，满足净化设施最低去除效率（小型60%），排放满足《饮食业油烟排放标准》（GB18483-2001）。</w:t>
                  </w:r>
                </w:p>
              </w:tc>
              <w:tc>
                <w:tcPr>
                  <w:tcW w:w="471" w:type="pct"/>
                  <w:noWrap w:val="0"/>
                  <w:vAlign w:val="center"/>
                </w:tcPr>
                <w:p>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符合</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3、项目选址合理性分析</w:t>
            </w:r>
          </w:p>
          <w:p>
            <w:pPr>
              <w:spacing w:line="360" w:lineRule="auto"/>
              <w:ind w:firstLine="480" w:firstLineChars="200"/>
              <w:rPr>
                <w:color w:val="auto"/>
                <w:sz w:val="24"/>
                <w:szCs w:val="24"/>
              </w:rPr>
            </w:pPr>
            <w:r>
              <w:rPr>
                <w:color w:val="auto"/>
                <w:sz w:val="24"/>
                <w:szCs w:val="24"/>
              </w:rPr>
              <w:t>本项目位于陕西省西安市莲湖区</w:t>
            </w:r>
            <w:r>
              <w:rPr>
                <w:rFonts w:hint="eastAsia"/>
                <w:color w:val="auto"/>
                <w:sz w:val="24"/>
                <w:szCs w:val="24"/>
              </w:rPr>
              <w:t>振华北巷7号，该商业楼共</w:t>
            </w:r>
            <w:r>
              <w:rPr>
                <w:rFonts w:hint="eastAsia"/>
                <w:color w:val="auto"/>
                <w:sz w:val="24"/>
                <w:szCs w:val="24"/>
                <w:lang w:val="en-US" w:eastAsia="zh-CN"/>
              </w:rPr>
              <w:t>七</w:t>
            </w:r>
            <w:r>
              <w:rPr>
                <w:rFonts w:hint="eastAsia"/>
                <w:color w:val="auto"/>
                <w:sz w:val="24"/>
                <w:szCs w:val="24"/>
              </w:rPr>
              <w:t>层</w:t>
            </w:r>
            <w:r>
              <w:rPr>
                <w:rFonts w:hint="eastAsia"/>
                <w:color w:val="auto"/>
                <w:sz w:val="24"/>
                <w:szCs w:val="24"/>
                <w:lang w:eastAsia="zh-CN"/>
              </w:rPr>
              <w:t>，</w:t>
            </w:r>
            <w:r>
              <w:rPr>
                <w:rFonts w:hint="eastAsia"/>
                <w:color w:val="auto"/>
                <w:sz w:val="24"/>
                <w:szCs w:val="24"/>
                <w:lang w:val="en-US" w:eastAsia="zh-CN"/>
              </w:rPr>
              <w:t>为独栋楼体，不与其他建筑相接触</w:t>
            </w:r>
            <w:r>
              <w:rPr>
                <w:rFonts w:hint="eastAsia"/>
                <w:color w:val="auto"/>
                <w:sz w:val="24"/>
                <w:szCs w:val="24"/>
              </w:rPr>
              <w:t>。本项目租赁场地为商业性质，为</w:t>
            </w:r>
            <w:r>
              <w:rPr>
                <w:rFonts w:hint="eastAsia"/>
                <w:color w:val="auto"/>
                <w:sz w:val="24"/>
                <w:szCs w:val="24"/>
                <w:lang w:val="en-US" w:eastAsia="zh-CN"/>
              </w:rPr>
              <w:t>西安雀笙酒店管理有限公司</w:t>
            </w:r>
            <w:r>
              <w:rPr>
                <w:rFonts w:hint="eastAsia"/>
                <w:color w:val="auto"/>
                <w:sz w:val="24"/>
                <w:szCs w:val="24"/>
              </w:rPr>
              <w:t>所有，</w:t>
            </w:r>
            <w:r>
              <w:rPr>
                <w:rFonts w:hint="eastAsia"/>
                <w:color w:val="auto"/>
                <w:sz w:val="24"/>
                <w:szCs w:val="24"/>
                <w:lang w:val="en-US" w:eastAsia="zh-CN"/>
              </w:rPr>
              <w:t>后租赁给西安市安定医院，本项目从西安市安定医院手中转租，租赁协议见附件</w:t>
            </w:r>
            <w:r>
              <w:rPr>
                <w:rFonts w:hint="eastAsia"/>
                <w:color w:val="auto"/>
                <w:sz w:val="24"/>
                <w:szCs w:val="24"/>
              </w:rPr>
              <w:t>。项目地北侧</w:t>
            </w:r>
            <w:r>
              <w:rPr>
                <w:rFonts w:hint="eastAsia"/>
                <w:color w:val="auto"/>
                <w:sz w:val="24"/>
                <w:szCs w:val="24"/>
                <w:lang w:val="en-US" w:eastAsia="zh-CN"/>
              </w:rPr>
              <w:t>及西侧</w:t>
            </w:r>
            <w:r>
              <w:rPr>
                <w:rFonts w:hint="eastAsia"/>
                <w:color w:val="auto"/>
                <w:sz w:val="24"/>
                <w:szCs w:val="24"/>
              </w:rPr>
              <w:t>为</w:t>
            </w:r>
            <w:r>
              <w:rPr>
                <w:rFonts w:hint="eastAsia"/>
                <w:color w:val="auto"/>
                <w:sz w:val="24"/>
                <w:szCs w:val="24"/>
                <w:lang w:val="en-US" w:eastAsia="zh-CN"/>
              </w:rPr>
              <w:t>上和城住宅楼，项目厂界距离最近的住宅楼上和城小区1栋为14m</w:t>
            </w:r>
            <w:r>
              <w:rPr>
                <w:rFonts w:hint="eastAsia"/>
                <w:color w:val="auto"/>
                <w:sz w:val="24"/>
                <w:szCs w:val="24"/>
              </w:rPr>
              <w:t>，</w:t>
            </w:r>
            <w:r>
              <w:rPr>
                <w:rFonts w:hint="eastAsia"/>
                <w:color w:val="auto"/>
                <w:sz w:val="24"/>
                <w:szCs w:val="24"/>
                <w:lang w:val="en-US" w:eastAsia="zh-CN"/>
              </w:rPr>
              <w:t>南侧为红庙坡路</w:t>
            </w:r>
            <w:r>
              <w:rPr>
                <w:rFonts w:hint="eastAsia"/>
                <w:color w:val="auto"/>
                <w:sz w:val="24"/>
                <w:szCs w:val="24"/>
              </w:rPr>
              <w:t>，</w:t>
            </w:r>
            <w:r>
              <w:rPr>
                <w:rFonts w:hint="eastAsia"/>
                <w:color w:val="auto"/>
                <w:sz w:val="24"/>
                <w:szCs w:val="24"/>
                <w:lang w:val="en-US" w:eastAsia="zh-CN"/>
              </w:rPr>
              <w:t>东侧为已拆迁民居</w:t>
            </w:r>
            <w:r>
              <w:rPr>
                <w:rFonts w:hint="eastAsia"/>
                <w:color w:val="auto"/>
                <w:sz w:val="24"/>
                <w:szCs w:val="24"/>
                <w:lang w:eastAsia="zh-CN"/>
              </w:rPr>
              <w:t>，</w:t>
            </w:r>
            <w:r>
              <w:rPr>
                <w:rFonts w:hint="eastAsia"/>
                <w:color w:val="auto"/>
                <w:sz w:val="24"/>
                <w:szCs w:val="24"/>
                <w:lang w:val="en-US" w:eastAsia="zh-CN"/>
              </w:rPr>
              <w:t>四邻关系图见附图2</w:t>
            </w:r>
            <w:r>
              <w:rPr>
                <w:rFonts w:hint="eastAsia"/>
                <w:color w:val="auto"/>
                <w:sz w:val="24"/>
                <w:szCs w:val="24"/>
              </w:rPr>
              <w:t>。</w:t>
            </w:r>
          </w:p>
          <w:p>
            <w:pPr>
              <w:spacing w:line="360" w:lineRule="auto"/>
              <w:ind w:firstLine="480" w:firstLineChars="200"/>
              <w:rPr>
                <w:color w:val="auto"/>
                <w:sz w:val="24"/>
                <w:szCs w:val="24"/>
              </w:rPr>
            </w:pPr>
            <w:r>
              <w:rPr>
                <w:rFonts w:hint="eastAsia"/>
                <w:color w:val="auto"/>
                <w:sz w:val="24"/>
                <w:szCs w:val="24"/>
              </w:rPr>
              <w:t>根</w:t>
            </w:r>
            <w:r>
              <w:rPr>
                <w:color w:val="auto"/>
                <w:sz w:val="24"/>
                <w:szCs w:val="24"/>
              </w:rPr>
              <w:t>据中华人民共和国住房和城乡建设部公告第655号《综合医院建筑设计规范》（GB51039-2014），本项目的选址可行性分析见表1-</w:t>
            </w:r>
            <w:r>
              <w:rPr>
                <w:rFonts w:hint="eastAsia"/>
                <w:color w:val="auto"/>
                <w:sz w:val="24"/>
                <w:szCs w:val="24"/>
              </w:rPr>
              <w:t>2</w:t>
            </w:r>
            <w:r>
              <w:rPr>
                <w:color w:val="auto"/>
                <w:sz w:val="24"/>
                <w:szCs w:val="24"/>
              </w:rPr>
              <w:t>。</w:t>
            </w:r>
          </w:p>
          <w:p>
            <w:pPr>
              <w:pStyle w:val="11"/>
              <w:spacing w:after="0" w:line="360" w:lineRule="auto"/>
              <w:ind w:left="0" w:leftChars="0"/>
              <w:jc w:val="center"/>
              <w:rPr>
                <w:color w:val="auto"/>
                <w:sz w:val="21"/>
                <w:szCs w:val="21"/>
              </w:rPr>
            </w:pPr>
            <w:r>
              <w:rPr>
                <w:b/>
                <w:bCs/>
                <w:color w:val="auto"/>
                <w:sz w:val="21"/>
                <w:szCs w:val="21"/>
              </w:rPr>
              <w:t>表1-</w:t>
            </w:r>
            <w:r>
              <w:rPr>
                <w:rFonts w:hint="eastAsia"/>
                <w:b/>
                <w:bCs/>
                <w:color w:val="auto"/>
                <w:sz w:val="21"/>
                <w:szCs w:val="21"/>
              </w:rPr>
              <w:t>2</w:t>
            </w:r>
            <w:r>
              <w:rPr>
                <w:b/>
                <w:bCs/>
                <w:color w:val="auto"/>
                <w:sz w:val="21"/>
                <w:szCs w:val="21"/>
              </w:rPr>
              <w:t xml:space="preserve">    选址可行性情况对比分析表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1310"/>
              <w:gridCol w:w="2329"/>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43" w:type="dxa"/>
                  <w:noWrap w:val="0"/>
                  <w:vAlign w:val="center"/>
                </w:tcPr>
                <w:p>
                  <w:pPr>
                    <w:pStyle w:val="74"/>
                    <w:rPr>
                      <w:color w:val="auto"/>
                      <w:sz w:val="21"/>
                      <w:szCs w:val="21"/>
                    </w:rPr>
                  </w:pPr>
                  <w:r>
                    <w:rPr>
                      <w:color w:val="auto"/>
                      <w:sz w:val="21"/>
                      <w:szCs w:val="21"/>
                    </w:rPr>
                    <w:t>序号</w:t>
                  </w:r>
                </w:p>
              </w:tc>
              <w:tc>
                <w:tcPr>
                  <w:tcW w:w="1310" w:type="dxa"/>
                  <w:noWrap w:val="0"/>
                  <w:vAlign w:val="center"/>
                </w:tcPr>
                <w:p>
                  <w:pPr>
                    <w:pStyle w:val="74"/>
                    <w:rPr>
                      <w:color w:val="auto"/>
                      <w:sz w:val="21"/>
                      <w:szCs w:val="21"/>
                    </w:rPr>
                  </w:pPr>
                  <w:r>
                    <w:rPr>
                      <w:rFonts w:hint="eastAsia"/>
                      <w:color w:val="auto"/>
                      <w:sz w:val="21"/>
                      <w:szCs w:val="21"/>
                    </w:rPr>
                    <w:t>标准要求</w:t>
                  </w:r>
                </w:p>
              </w:tc>
              <w:tc>
                <w:tcPr>
                  <w:tcW w:w="2329" w:type="dxa"/>
                  <w:noWrap w:val="0"/>
                  <w:vAlign w:val="center"/>
                </w:tcPr>
                <w:p>
                  <w:pPr>
                    <w:pStyle w:val="74"/>
                    <w:rPr>
                      <w:color w:val="auto"/>
                      <w:sz w:val="21"/>
                      <w:szCs w:val="21"/>
                    </w:rPr>
                  </w:pPr>
                  <w:r>
                    <w:rPr>
                      <w:color w:val="auto"/>
                      <w:sz w:val="21"/>
                      <w:szCs w:val="21"/>
                    </w:rPr>
                    <w:t>本项目</w:t>
                  </w:r>
                </w:p>
              </w:tc>
              <w:tc>
                <w:tcPr>
                  <w:tcW w:w="680" w:type="dxa"/>
                  <w:noWrap w:val="0"/>
                  <w:vAlign w:val="center"/>
                </w:tcPr>
                <w:p>
                  <w:pPr>
                    <w:pStyle w:val="74"/>
                    <w:rPr>
                      <w:color w:val="auto"/>
                      <w:sz w:val="21"/>
                      <w:szCs w:val="21"/>
                    </w:rPr>
                  </w:pPr>
                  <w:r>
                    <w:rPr>
                      <w:color w:val="auto"/>
                      <w:sz w:val="21"/>
                      <w:szCs w:val="21"/>
                    </w:rPr>
                    <w:t>符合与否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943" w:type="dxa"/>
                  <w:vMerge w:val="restart"/>
                  <w:noWrap w:val="0"/>
                  <w:vAlign w:val="center"/>
                </w:tcPr>
                <w:p>
                  <w:pPr>
                    <w:pStyle w:val="74"/>
                    <w:rPr>
                      <w:color w:val="auto"/>
                      <w:sz w:val="21"/>
                      <w:szCs w:val="21"/>
                    </w:rPr>
                  </w:pPr>
                  <w:r>
                    <w:rPr>
                      <w:color w:val="auto"/>
                      <w:sz w:val="21"/>
                      <w:szCs w:val="21"/>
                    </w:rPr>
                    <w:t>《综合医院建筑设计规范》（GB51039-2014）</w:t>
                  </w:r>
                </w:p>
              </w:tc>
              <w:tc>
                <w:tcPr>
                  <w:tcW w:w="1310" w:type="dxa"/>
                  <w:noWrap w:val="0"/>
                  <w:vAlign w:val="center"/>
                </w:tcPr>
                <w:p>
                  <w:pPr>
                    <w:jc w:val="center"/>
                    <w:rPr>
                      <w:color w:val="auto"/>
                      <w:szCs w:val="21"/>
                    </w:rPr>
                  </w:pPr>
                  <w:r>
                    <w:rPr>
                      <w:color w:val="auto"/>
                      <w:szCs w:val="21"/>
                    </w:rPr>
                    <w:t>应交通方便，宜面临城市道路</w:t>
                  </w:r>
                </w:p>
              </w:tc>
              <w:tc>
                <w:tcPr>
                  <w:tcW w:w="2329" w:type="dxa"/>
                  <w:noWrap w:val="0"/>
                  <w:vAlign w:val="center"/>
                </w:tcPr>
                <w:p>
                  <w:pPr>
                    <w:rPr>
                      <w:rFonts w:hint="eastAsia"/>
                      <w:color w:val="auto"/>
                      <w:szCs w:val="21"/>
                    </w:rPr>
                  </w:pPr>
                  <w:r>
                    <w:rPr>
                      <w:color w:val="auto"/>
                      <w:szCs w:val="21"/>
                    </w:rPr>
                    <w:t>本项目建设地点位于陕西省西安市莲湖区，</w:t>
                  </w:r>
                  <w:r>
                    <w:rPr>
                      <w:rFonts w:hint="eastAsia"/>
                      <w:color w:val="auto"/>
                      <w:szCs w:val="21"/>
                    </w:rPr>
                    <w:t>临近</w:t>
                  </w:r>
                  <w:r>
                    <w:rPr>
                      <w:rFonts w:hint="eastAsia"/>
                      <w:color w:val="auto"/>
                      <w:szCs w:val="21"/>
                      <w:lang w:val="en-US" w:eastAsia="zh-CN"/>
                    </w:rPr>
                    <w:t>文景路</w:t>
                  </w:r>
                  <w:r>
                    <w:rPr>
                      <w:rFonts w:hint="eastAsia"/>
                      <w:color w:val="auto"/>
                      <w:szCs w:val="21"/>
                    </w:rPr>
                    <w:t>、</w:t>
                  </w:r>
                  <w:r>
                    <w:rPr>
                      <w:rFonts w:hint="eastAsia"/>
                      <w:color w:val="auto"/>
                      <w:szCs w:val="21"/>
                      <w:lang w:val="en-US" w:eastAsia="zh-CN"/>
                    </w:rPr>
                    <w:t>红庙坡路</w:t>
                  </w:r>
                  <w:r>
                    <w:rPr>
                      <w:rFonts w:hint="eastAsia"/>
                      <w:color w:val="auto"/>
                      <w:szCs w:val="21"/>
                    </w:rPr>
                    <w:t>，</w:t>
                  </w:r>
                  <w:r>
                    <w:rPr>
                      <w:color w:val="auto"/>
                      <w:szCs w:val="21"/>
                    </w:rPr>
                    <w:t>交通便利</w:t>
                  </w:r>
                  <w:r>
                    <w:rPr>
                      <w:rFonts w:hint="eastAsia"/>
                      <w:color w:val="auto"/>
                      <w:szCs w:val="21"/>
                    </w:rPr>
                    <w:t>。</w:t>
                  </w:r>
                </w:p>
              </w:tc>
              <w:tc>
                <w:tcPr>
                  <w:tcW w:w="680" w:type="dxa"/>
                  <w:noWrap w:val="0"/>
                  <w:vAlign w:val="center"/>
                </w:tcPr>
                <w:p>
                  <w:pPr>
                    <w:jc w:val="center"/>
                    <w:rPr>
                      <w:color w:val="auto"/>
                      <w:szCs w:val="21"/>
                    </w:rPr>
                  </w:pPr>
                  <w:r>
                    <w:rPr>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43" w:type="dxa"/>
                  <w:vMerge w:val="continue"/>
                  <w:noWrap w:val="0"/>
                  <w:vAlign w:val="center"/>
                </w:tcPr>
                <w:p>
                  <w:pPr>
                    <w:pStyle w:val="74"/>
                    <w:rPr>
                      <w:color w:val="auto"/>
                      <w:sz w:val="21"/>
                      <w:szCs w:val="21"/>
                    </w:rPr>
                  </w:pPr>
                </w:p>
              </w:tc>
              <w:tc>
                <w:tcPr>
                  <w:tcW w:w="1310" w:type="dxa"/>
                  <w:noWrap w:val="0"/>
                  <w:vAlign w:val="center"/>
                </w:tcPr>
                <w:p>
                  <w:pPr>
                    <w:jc w:val="center"/>
                    <w:rPr>
                      <w:color w:val="auto"/>
                      <w:szCs w:val="21"/>
                    </w:rPr>
                  </w:pPr>
                  <w:r>
                    <w:rPr>
                      <w:color w:val="auto"/>
                      <w:szCs w:val="21"/>
                    </w:rPr>
                    <w:t>宜便于利用城市基础设施</w:t>
                  </w:r>
                </w:p>
              </w:tc>
              <w:tc>
                <w:tcPr>
                  <w:tcW w:w="2329" w:type="dxa"/>
                  <w:noWrap w:val="0"/>
                  <w:vAlign w:val="center"/>
                </w:tcPr>
                <w:p>
                  <w:pPr>
                    <w:jc w:val="left"/>
                    <w:rPr>
                      <w:rFonts w:hint="eastAsia"/>
                      <w:color w:val="auto"/>
                      <w:szCs w:val="21"/>
                    </w:rPr>
                  </w:pPr>
                  <w:r>
                    <w:rPr>
                      <w:color w:val="auto"/>
                      <w:szCs w:val="21"/>
                    </w:rPr>
                    <w:t>工程建设充分利用城市配套设施，依托城市供电等公用工程设施</w:t>
                  </w:r>
                  <w:r>
                    <w:rPr>
                      <w:rFonts w:hint="eastAsia"/>
                      <w:color w:val="auto"/>
                      <w:szCs w:val="21"/>
                    </w:rPr>
                    <w:t>。</w:t>
                  </w:r>
                </w:p>
              </w:tc>
              <w:tc>
                <w:tcPr>
                  <w:tcW w:w="680" w:type="dxa"/>
                  <w:noWrap w:val="0"/>
                  <w:vAlign w:val="center"/>
                </w:tcPr>
                <w:p>
                  <w:pPr>
                    <w:pStyle w:val="74"/>
                    <w:rPr>
                      <w:color w:val="auto"/>
                      <w:sz w:val="21"/>
                      <w:szCs w:val="21"/>
                    </w:rPr>
                  </w:pPr>
                  <w:r>
                    <w:rPr>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943" w:type="dxa"/>
                  <w:vMerge w:val="continue"/>
                  <w:noWrap w:val="0"/>
                  <w:vAlign w:val="center"/>
                </w:tcPr>
                <w:p>
                  <w:pPr>
                    <w:pStyle w:val="74"/>
                    <w:rPr>
                      <w:color w:val="auto"/>
                      <w:sz w:val="21"/>
                      <w:szCs w:val="21"/>
                    </w:rPr>
                  </w:pPr>
                </w:p>
              </w:tc>
              <w:tc>
                <w:tcPr>
                  <w:tcW w:w="1310" w:type="dxa"/>
                  <w:noWrap w:val="0"/>
                  <w:vAlign w:val="center"/>
                </w:tcPr>
                <w:p>
                  <w:pPr>
                    <w:jc w:val="center"/>
                    <w:rPr>
                      <w:color w:val="auto"/>
                      <w:szCs w:val="21"/>
                    </w:rPr>
                  </w:pPr>
                  <w:r>
                    <w:rPr>
                      <w:color w:val="auto"/>
                      <w:szCs w:val="21"/>
                    </w:rPr>
                    <w:t>环境宜安静，应远离污染源</w:t>
                  </w:r>
                </w:p>
              </w:tc>
              <w:tc>
                <w:tcPr>
                  <w:tcW w:w="2329" w:type="dxa"/>
                  <w:noWrap w:val="0"/>
                  <w:vAlign w:val="center"/>
                </w:tcPr>
                <w:p>
                  <w:pPr>
                    <w:rPr>
                      <w:rFonts w:hint="eastAsia"/>
                      <w:color w:val="auto"/>
                      <w:szCs w:val="21"/>
                    </w:rPr>
                  </w:pPr>
                  <w:r>
                    <w:rPr>
                      <w:color w:val="auto"/>
                      <w:szCs w:val="21"/>
                    </w:rPr>
                    <w:t>本项目</w:t>
                  </w:r>
                  <w:r>
                    <w:rPr>
                      <w:rFonts w:hint="eastAsia"/>
                      <w:color w:val="auto"/>
                      <w:szCs w:val="21"/>
                    </w:rPr>
                    <w:t>北侧及西侧为上和城住宅楼，南侧为红庙坡路，东侧为</w:t>
                  </w:r>
                  <w:r>
                    <w:rPr>
                      <w:rFonts w:hint="eastAsia"/>
                      <w:color w:val="auto"/>
                      <w:szCs w:val="21"/>
                      <w:lang w:val="en-US" w:eastAsia="zh-CN"/>
                    </w:rPr>
                    <w:t>空地</w:t>
                  </w:r>
                  <w:r>
                    <w:rPr>
                      <w:color w:val="auto"/>
                      <w:szCs w:val="21"/>
                    </w:rPr>
                    <w:t>，经过室内功能区的合理布局和设置隔声窗等措施后，可以保证医院内部环境安静，符合相应功能和标准要求</w:t>
                  </w:r>
                  <w:r>
                    <w:rPr>
                      <w:rFonts w:hint="eastAsia"/>
                      <w:color w:val="auto"/>
                      <w:szCs w:val="21"/>
                    </w:rPr>
                    <w:t>。</w:t>
                  </w:r>
                </w:p>
              </w:tc>
              <w:tc>
                <w:tcPr>
                  <w:tcW w:w="680" w:type="dxa"/>
                  <w:noWrap w:val="0"/>
                  <w:vAlign w:val="center"/>
                </w:tcPr>
                <w:p>
                  <w:pPr>
                    <w:pStyle w:val="74"/>
                    <w:rPr>
                      <w:color w:val="auto"/>
                      <w:sz w:val="21"/>
                      <w:szCs w:val="21"/>
                    </w:rPr>
                  </w:pPr>
                  <w:r>
                    <w:rPr>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43" w:type="dxa"/>
                  <w:vMerge w:val="continue"/>
                  <w:noWrap w:val="0"/>
                  <w:vAlign w:val="center"/>
                </w:tcPr>
                <w:p>
                  <w:pPr>
                    <w:pStyle w:val="74"/>
                    <w:rPr>
                      <w:color w:val="auto"/>
                      <w:sz w:val="21"/>
                      <w:szCs w:val="21"/>
                    </w:rPr>
                  </w:pPr>
                </w:p>
              </w:tc>
              <w:tc>
                <w:tcPr>
                  <w:tcW w:w="1310" w:type="dxa"/>
                  <w:noWrap w:val="0"/>
                  <w:vAlign w:val="center"/>
                </w:tcPr>
                <w:p>
                  <w:pPr>
                    <w:jc w:val="center"/>
                    <w:rPr>
                      <w:color w:val="auto"/>
                      <w:szCs w:val="21"/>
                    </w:rPr>
                  </w:pPr>
                  <w:r>
                    <w:rPr>
                      <w:color w:val="auto"/>
                      <w:szCs w:val="21"/>
                    </w:rPr>
                    <w:t>地形宜力求规整，适宜医院功能布局</w:t>
                  </w:r>
                </w:p>
              </w:tc>
              <w:tc>
                <w:tcPr>
                  <w:tcW w:w="2329" w:type="dxa"/>
                  <w:noWrap w:val="0"/>
                  <w:vAlign w:val="center"/>
                </w:tcPr>
                <w:p>
                  <w:pPr>
                    <w:rPr>
                      <w:rFonts w:hint="eastAsia"/>
                      <w:color w:val="auto"/>
                      <w:szCs w:val="21"/>
                    </w:rPr>
                  </w:pPr>
                  <w:r>
                    <w:rPr>
                      <w:color w:val="auto"/>
                      <w:szCs w:val="21"/>
                    </w:rPr>
                    <w:t>医院内部布局可以满足本项目需求，医院附近没有大的工厂及其较大的噪声污染源，环境比较安静，适于患者休养和治疗</w:t>
                  </w:r>
                  <w:r>
                    <w:rPr>
                      <w:rFonts w:hint="eastAsia"/>
                      <w:color w:val="auto"/>
                      <w:szCs w:val="21"/>
                    </w:rPr>
                    <w:t>。</w:t>
                  </w:r>
                </w:p>
              </w:tc>
              <w:tc>
                <w:tcPr>
                  <w:tcW w:w="680" w:type="dxa"/>
                  <w:noWrap w:val="0"/>
                  <w:vAlign w:val="center"/>
                </w:tcPr>
                <w:p>
                  <w:pPr>
                    <w:pStyle w:val="74"/>
                    <w:rPr>
                      <w:color w:val="auto"/>
                      <w:sz w:val="21"/>
                      <w:szCs w:val="21"/>
                    </w:rPr>
                  </w:pPr>
                  <w:r>
                    <w:rPr>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943" w:type="dxa"/>
                  <w:vMerge w:val="continue"/>
                  <w:noWrap w:val="0"/>
                  <w:vAlign w:val="center"/>
                </w:tcPr>
                <w:p>
                  <w:pPr>
                    <w:pStyle w:val="74"/>
                    <w:rPr>
                      <w:color w:val="auto"/>
                      <w:sz w:val="21"/>
                      <w:szCs w:val="21"/>
                    </w:rPr>
                  </w:pPr>
                </w:p>
              </w:tc>
              <w:tc>
                <w:tcPr>
                  <w:tcW w:w="1310" w:type="dxa"/>
                  <w:noWrap w:val="0"/>
                  <w:vAlign w:val="center"/>
                </w:tcPr>
                <w:p>
                  <w:pPr>
                    <w:jc w:val="center"/>
                    <w:rPr>
                      <w:color w:val="auto"/>
                      <w:szCs w:val="21"/>
                    </w:rPr>
                  </w:pPr>
                  <w:r>
                    <w:rPr>
                      <w:color w:val="auto"/>
                      <w:szCs w:val="21"/>
                    </w:rPr>
                    <w:t>应远离易燃、易爆物品的生产和储存区，并应远离高压线路及其设施</w:t>
                  </w:r>
                </w:p>
              </w:tc>
              <w:tc>
                <w:tcPr>
                  <w:tcW w:w="2329" w:type="dxa"/>
                  <w:noWrap w:val="0"/>
                  <w:vAlign w:val="center"/>
                </w:tcPr>
                <w:p>
                  <w:pPr>
                    <w:pStyle w:val="74"/>
                    <w:rPr>
                      <w:rFonts w:hint="eastAsia" w:eastAsia="宋体"/>
                      <w:color w:val="auto"/>
                      <w:sz w:val="21"/>
                      <w:szCs w:val="21"/>
                      <w:lang w:eastAsia="zh-CN"/>
                    </w:rPr>
                  </w:pPr>
                  <w:r>
                    <w:rPr>
                      <w:color w:val="auto"/>
                      <w:sz w:val="21"/>
                      <w:szCs w:val="21"/>
                    </w:rPr>
                    <w:t>周边无相应设施</w:t>
                  </w:r>
                  <w:r>
                    <w:rPr>
                      <w:rFonts w:hint="eastAsia"/>
                      <w:color w:val="auto"/>
                      <w:sz w:val="21"/>
                      <w:szCs w:val="21"/>
                      <w:lang w:eastAsia="zh-CN"/>
                    </w:rPr>
                    <w:t>。</w:t>
                  </w:r>
                </w:p>
              </w:tc>
              <w:tc>
                <w:tcPr>
                  <w:tcW w:w="680" w:type="dxa"/>
                  <w:noWrap w:val="0"/>
                  <w:vAlign w:val="center"/>
                </w:tcPr>
                <w:p>
                  <w:pPr>
                    <w:pStyle w:val="74"/>
                    <w:rPr>
                      <w:color w:val="auto"/>
                      <w:sz w:val="21"/>
                      <w:szCs w:val="21"/>
                    </w:rPr>
                  </w:pPr>
                  <w:r>
                    <w:rPr>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43" w:type="dxa"/>
                  <w:vMerge w:val="continue"/>
                  <w:noWrap w:val="0"/>
                  <w:vAlign w:val="center"/>
                </w:tcPr>
                <w:p>
                  <w:pPr>
                    <w:pStyle w:val="74"/>
                    <w:rPr>
                      <w:color w:val="auto"/>
                      <w:sz w:val="21"/>
                      <w:szCs w:val="21"/>
                    </w:rPr>
                  </w:pPr>
                </w:p>
              </w:tc>
              <w:tc>
                <w:tcPr>
                  <w:tcW w:w="1310" w:type="dxa"/>
                  <w:noWrap w:val="0"/>
                  <w:vAlign w:val="center"/>
                </w:tcPr>
                <w:p>
                  <w:pPr>
                    <w:pStyle w:val="74"/>
                    <w:rPr>
                      <w:color w:val="auto"/>
                      <w:sz w:val="21"/>
                      <w:szCs w:val="21"/>
                    </w:rPr>
                  </w:pPr>
                  <w:r>
                    <w:rPr>
                      <w:color w:val="auto"/>
                      <w:sz w:val="21"/>
                      <w:szCs w:val="21"/>
                    </w:rPr>
                    <w:t>不应临近少年儿童活动密集场所</w:t>
                  </w:r>
                </w:p>
              </w:tc>
              <w:tc>
                <w:tcPr>
                  <w:tcW w:w="2329" w:type="dxa"/>
                  <w:noWrap w:val="0"/>
                  <w:vAlign w:val="center"/>
                </w:tcPr>
                <w:p>
                  <w:pPr>
                    <w:pStyle w:val="74"/>
                    <w:rPr>
                      <w:color w:val="auto"/>
                      <w:sz w:val="21"/>
                      <w:szCs w:val="21"/>
                    </w:rPr>
                  </w:pPr>
                  <w:r>
                    <w:rPr>
                      <w:color w:val="auto"/>
                      <w:sz w:val="21"/>
                      <w:szCs w:val="21"/>
                    </w:rPr>
                    <w:t>本项目远离少年儿童活动密集场所</w:t>
                  </w:r>
                </w:p>
              </w:tc>
              <w:tc>
                <w:tcPr>
                  <w:tcW w:w="680" w:type="dxa"/>
                  <w:noWrap w:val="0"/>
                  <w:vAlign w:val="center"/>
                </w:tcPr>
                <w:p>
                  <w:pPr>
                    <w:pStyle w:val="74"/>
                    <w:rPr>
                      <w:color w:val="auto"/>
                      <w:sz w:val="21"/>
                      <w:szCs w:val="21"/>
                    </w:rPr>
                  </w:pPr>
                  <w:r>
                    <w:rPr>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943" w:type="dxa"/>
                  <w:vMerge w:val="continue"/>
                  <w:noWrap w:val="0"/>
                  <w:vAlign w:val="center"/>
                </w:tcPr>
                <w:p>
                  <w:pPr>
                    <w:pStyle w:val="74"/>
                    <w:rPr>
                      <w:color w:val="auto"/>
                      <w:sz w:val="21"/>
                      <w:szCs w:val="21"/>
                    </w:rPr>
                  </w:pPr>
                </w:p>
              </w:tc>
              <w:tc>
                <w:tcPr>
                  <w:tcW w:w="1310" w:type="dxa"/>
                  <w:noWrap w:val="0"/>
                  <w:vAlign w:val="center"/>
                </w:tcPr>
                <w:p>
                  <w:pPr>
                    <w:jc w:val="center"/>
                    <w:rPr>
                      <w:color w:val="auto"/>
                      <w:szCs w:val="21"/>
                    </w:rPr>
                  </w:pPr>
                  <w:r>
                    <w:rPr>
                      <w:color w:val="auto"/>
                      <w:szCs w:val="21"/>
                    </w:rPr>
                    <w:t>不应污染、影响城市的其他区域</w:t>
                  </w:r>
                </w:p>
              </w:tc>
              <w:tc>
                <w:tcPr>
                  <w:tcW w:w="2329" w:type="dxa"/>
                  <w:noWrap w:val="0"/>
                  <w:vAlign w:val="center"/>
                </w:tcPr>
                <w:p>
                  <w:pPr>
                    <w:jc w:val="left"/>
                    <w:rPr>
                      <w:rFonts w:hint="eastAsia"/>
                      <w:color w:val="auto"/>
                      <w:szCs w:val="21"/>
                    </w:rPr>
                  </w:pPr>
                  <w:r>
                    <w:rPr>
                      <w:color w:val="auto"/>
                      <w:szCs w:val="21"/>
                    </w:rPr>
                    <w:t>本项目选址于</w:t>
                  </w:r>
                  <w:r>
                    <w:rPr>
                      <w:rFonts w:hint="eastAsia"/>
                      <w:color w:val="auto"/>
                      <w:szCs w:val="21"/>
                      <w:lang w:val="en-US" w:eastAsia="zh-CN"/>
                    </w:rPr>
                    <w:t>独栋</w:t>
                  </w:r>
                  <w:r>
                    <w:rPr>
                      <w:color w:val="auto"/>
                      <w:szCs w:val="21"/>
                    </w:rPr>
                    <w:t>商业楼内，</w:t>
                  </w:r>
                  <w:r>
                    <w:rPr>
                      <w:rFonts w:hint="eastAsia"/>
                      <w:color w:val="auto"/>
                      <w:szCs w:val="21"/>
                      <w:lang w:val="en-US" w:eastAsia="zh-CN"/>
                    </w:rPr>
                    <w:t>整体租赁，除本项目外无其他经营活动，</w:t>
                  </w:r>
                  <w:r>
                    <w:rPr>
                      <w:color w:val="auto"/>
                      <w:szCs w:val="21"/>
                    </w:rPr>
                    <w:t>设置独立出入口，运行过程中不会与周边居民商业活动产生交叉。由工程分析和污染物排放</w:t>
                  </w:r>
                  <w:r>
                    <w:rPr>
                      <w:rFonts w:hint="eastAsia"/>
                      <w:color w:val="auto"/>
                      <w:szCs w:val="21"/>
                    </w:rPr>
                    <w:t>预测</w:t>
                  </w:r>
                  <w:r>
                    <w:rPr>
                      <w:color w:val="auto"/>
                      <w:szCs w:val="21"/>
                    </w:rPr>
                    <w:t>结果可知，工程运行后，对污染物采取措施，污染物均达标排放，对环境影响可接受</w:t>
                  </w:r>
                  <w:r>
                    <w:rPr>
                      <w:rFonts w:hint="eastAsia"/>
                      <w:color w:val="auto"/>
                      <w:szCs w:val="21"/>
                    </w:rPr>
                    <w:t>。</w:t>
                  </w:r>
                </w:p>
              </w:tc>
              <w:tc>
                <w:tcPr>
                  <w:tcW w:w="680" w:type="dxa"/>
                  <w:noWrap w:val="0"/>
                  <w:vAlign w:val="center"/>
                </w:tcPr>
                <w:p>
                  <w:pPr>
                    <w:pStyle w:val="74"/>
                    <w:rPr>
                      <w:color w:val="auto"/>
                      <w:sz w:val="21"/>
                      <w:szCs w:val="21"/>
                    </w:rPr>
                  </w:pPr>
                  <w:r>
                    <w:rPr>
                      <w:color w:val="auto"/>
                      <w:sz w:val="21"/>
                      <w:szCs w:val="21"/>
                    </w:rPr>
                    <w:t>符合</w:t>
                  </w:r>
                </w:p>
              </w:tc>
            </w:tr>
          </w:tbl>
          <w:p>
            <w:pPr>
              <w:spacing w:line="360" w:lineRule="auto"/>
              <w:ind w:firstLine="480" w:firstLineChars="200"/>
              <w:rPr>
                <w:color w:val="auto"/>
                <w:sz w:val="24"/>
                <w:szCs w:val="24"/>
              </w:rPr>
            </w:pPr>
            <w:r>
              <w:rPr>
                <w:rFonts w:hint="eastAsia"/>
                <w:color w:val="auto"/>
                <w:sz w:val="24"/>
                <w:szCs w:val="24"/>
              </w:rPr>
              <w:t>项目区域</w:t>
            </w:r>
            <w:r>
              <w:rPr>
                <w:color w:val="auto"/>
                <w:sz w:val="24"/>
                <w:szCs w:val="24"/>
              </w:rPr>
              <w:t>的供水、排水、供电、通讯等基础设施完善，能保障医疗工作的顺利开展，同时为</w:t>
            </w:r>
            <w:r>
              <w:rPr>
                <w:rFonts w:hint="eastAsia"/>
                <w:color w:val="auto"/>
                <w:sz w:val="24"/>
                <w:szCs w:val="24"/>
              </w:rPr>
              <w:t>患者</w:t>
            </w:r>
            <w:r>
              <w:rPr>
                <w:color w:val="auto"/>
                <w:sz w:val="24"/>
                <w:szCs w:val="24"/>
              </w:rPr>
              <w:t>提供良好的生活保障和社会服务，可满足医院运营要求。</w:t>
            </w:r>
          </w:p>
          <w:p>
            <w:pPr>
              <w:spacing w:line="360" w:lineRule="auto"/>
              <w:ind w:firstLine="480" w:firstLineChars="200"/>
              <w:rPr>
                <w:color w:val="auto"/>
                <w:sz w:val="24"/>
                <w:szCs w:val="24"/>
              </w:rPr>
            </w:pPr>
            <w:r>
              <w:rPr>
                <w:rFonts w:hint="eastAsia"/>
                <w:color w:val="auto"/>
                <w:sz w:val="24"/>
                <w:szCs w:val="24"/>
              </w:rPr>
              <w:t>本项目的实施对周围环境影响较小，周围环境没有对本项目建设的制约因素，项目的建设</w:t>
            </w:r>
            <w:r>
              <w:rPr>
                <w:color w:val="auto"/>
                <w:sz w:val="24"/>
                <w:szCs w:val="24"/>
              </w:rPr>
              <w:t>能满足</w:t>
            </w:r>
            <w:r>
              <w:rPr>
                <w:rFonts w:hint="eastAsia"/>
                <w:color w:val="auto"/>
                <w:sz w:val="24"/>
                <w:szCs w:val="24"/>
              </w:rPr>
              <w:t>周围居民的</w:t>
            </w:r>
            <w:r>
              <w:rPr>
                <w:color w:val="auto"/>
                <w:sz w:val="24"/>
                <w:szCs w:val="24"/>
              </w:rPr>
              <w:t>医疗及生活保障需</w:t>
            </w:r>
            <w:r>
              <w:rPr>
                <w:rFonts w:hint="eastAsia"/>
                <w:color w:val="auto"/>
                <w:sz w:val="24"/>
                <w:szCs w:val="24"/>
              </w:rPr>
              <w:t>求。项目的建设不会改变当地环境功能，项目区周围无自然保护区、风景名胜区、</w:t>
            </w:r>
            <w:r>
              <w:rPr>
                <w:color w:val="auto"/>
                <w:sz w:val="24"/>
                <w:szCs w:val="24"/>
              </w:rPr>
              <w:t>生活饮用水水源保护区</w:t>
            </w:r>
            <w:r>
              <w:rPr>
                <w:rFonts w:hint="eastAsia"/>
                <w:color w:val="auto"/>
                <w:sz w:val="24"/>
                <w:szCs w:val="24"/>
              </w:rPr>
              <w:t>等环境敏感目标。</w:t>
            </w:r>
          </w:p>
          <w:p>
            <w:pPr>
              <w:spacing w:line="360" w:lineRule="auto"/>
              <w:ind w:firstLine="480" w:firstLineChars="200"/>
              <w:rPr>
                <w:color w:val="auto"/>
                <w:sz w:val="24"/>
                <w:szCs w:val="24"/>
              </w:rPr>
            </w:pPr>
            <w:r>
              <w:rPr>
                <w:color w:val="auto"/>
                <w:sz w:val="24"/>
                <w:szCs w:val="24"/>
              </w:rPr>
              <w:t>本项目生活</w:t>
            </w:r>
            <w:r>
              <w:rPr>
                <w:rFonts w:hint="eastAsia"/>
                <w:color w:val="auto"/>
                <w:sz w:val="24"/>
                <w:szCs w:val="24"/>
              </w:rPr>
              <w:t>污水与检验科废水</w:t>
            </w:r>
            <w:r>
              <w:rPr>
                <w:color w:val="auto"/>
                <w:sz w:val="24"/>
                <w:szCs w:val="24"/>
              </w:rPr>
              <w:t>、医疗废水</w:t>
            </w:r>
            <w:r>
              <w:rPr>
                <w:rFonts w:hint="eastAsia"/>
                <w:color w:val="auto"/>
                <w:sz w:val="24"/>
                <w:szCs w:val="24"/>
              </w:rPr>
              <w:t>排入</w:t>
            </w:r>
            <w:r>
              <w:rPr>
                <w:rFonts w:hint="eastAsia"/>
                <w:color w:val="auto"/>
                <w:sz w:val="24"/>
                <w:szCs w:val="24"/>
                <w:lang w:val="en-US" w:eastAsia="zh-CN"/>
              </w:rPr>
              <w:t>已建</w:t>
            </w:r>
            <w:r>
              <w:rPr>
                <w:rFonts w:hint="eastAsia"/>
                <w:color w:val="auto"/>
                <w:sz w:val="24"/>
                <w:szCs w:val="24"/>
              </w:rPr>
              <w:t>化粪池处理后共同排入污水处理站</w:t>
            </w:r>
            <w:r>
              <w:rPr>
                <w:color w:val="auto"/>
                <w:sz w:val="24"/>
                <w:szCs w:val="24"/>
              </w:rPr>
              <w:t>（</w:t>
            </w:r>
            <w:r>
              <w:rPr>
                <w:rFonts w:hint="eastAsia"/>
                <w:color w:val="auto"/>
                <w:sz w:val="24"/>
                <w:szCs w:val="24"/>
              </w:rPr>
              <w:t>预处理+ A/O工艺+加</w:t>
            </w:r>
            <w:r>
              <w:rPr>
                <w:rFonts w:hint="eastAsia"/>
                <w:color w:val="auto"/>
                <w:sz w:val="24"/>
                <w:szCs w:val="24"/>
                <w:lang w:eastAsia="zh-CN"/>
              </w:rPr>
              <w:t>次氯酸钠</w:t>
            </w:r>
            <w:r>
              <w:rPr>
                <w:rFonts w:hint="eastAsia"/>
                <w:color w:val="auto"/>
                <w:sz w:val="24"/>
                <w:szCs w:val="24"/>
              </w:rPr>
              <w:t>消毒</w:t>
            </w:r>
            <w:r>
              <w:rPr>
                <w:color w:val="auto"/>
                <w:sz w:val="24"/>
                <w:szCs w:val="24"/>
              </w:rPr>
              <w:t>）处理</w:t>
            </w:r>
            <w:r>
              <w:rPr>
                <w:rFonts w:hint="eastAsia"/>
                <w:color w:val="auto"/>
                <w:sz w:val="24"/>
                <w:szCs w:val="24"/>
              </w:rPr>
              <w:t>工艺</w:t>
            </w:r>
            <w:r>
              <w:rPr>
                <w:color w:val="auto"/>
                <w:sz w:val="24"/>
                <w:szCs w:val="24"/>
              </w:rPr>
              <w:t>处理达标后，</w:t>
            </w:r>
            <w:r>
              <w:rPr>
                <w:rFonts w:hint="eastAsia"/>
                <w:color w:val="auto"/>
                <w:sz w:val="24"/>
                <w:szCs w:val="24"/>
              </w:rPr>
              <w:t>排入市政污水管网排至</w:t>
            </w:r>
            <w:r>
              <w:rPr>
                <w:rFonts w:hint="eastAsia"/>
                <w:color w:val="auto"/>
                <w:sz w:val="24"/>
                <w:szCs w:val="24"/>
                <w:lang w:val="en-US" w:eastAsia="zh-CN"/>
              </w:rPr>
              <w:t>西安市第四</w:t>
            </w:r>
            <w:r>
              <w:rPr>
                <w:rFonts w:hint="eastAsia"/>
                <w:color w:val="auto"/>
                <w:sz w:val="24"/>
                <w:szCs w:val="24"/>
                <w:lang w:eastAsia="zh-CN"/>
              </w:rPr>
              <w:t>污水</w:t>
            </w:r>
            <w:r>
              <w:rPr>
                <w:rFonts w:hint="eastAsia"/>
                <w:color w:val="auto"/>
                <w:sz w:val="24"/>
                <w:szCs w:val="24"/>
              </w:rPr>
              <w:t>处理厂进一步处理，本项目污水处理设施位于医院一层</w:t>
            </w:r>
            <w:r>
              <w:rPr>
                <w:rFonts w:hint="eastAsia"/>
                <w:color w:val="auto"/>
                <w:sz w:val="24"/>
                <w:szCs w:val="24"/>
                <w:lang w:val="en-US" w:eastAsia="zh-CN"/>
              </w:rPr>
              <w:t>西南</w:t>
            </w:r>
            <w:r>
              <w:rPr>
                <w:rFonts w:hint="eastAsia"/>
                <w:color w:val="auto"/>
                <w:sz w:val="24"/>
                <w:szCs w:val="24"/>
              </w:rPr>
              <w:t>部，</w:t>
            </w:r>
            <w:r>
              <w:rPr>
                <w:rFonts w:hint="eastAsia"/>
                <w:color w:val="auto"/>
                <w:sz w:val="24"/>
                <w:szCs w:val="24"/>
                <w:lang w:val="en-US" w:eastAsia="zh-CN"/>
              </w:rPr>
              <w:t>进行地埋式安置，四周</w:t>
            </w:r>
            <w:r>
              <w:rPr>
                <w:rFonts w:hint="eastAsia"/>
                <w:color w:val="auto"/>
                <w:sz w:val="24"/>
                <w:szCs w:val="24"/>
              </w:rPr>
              <w:t>定期喷洒生物除臭剂，环境影响较小</w:t>
            </w:r>
            <w:r>
              <w:rPr>
                <w:color w:val="auto"/>
                <w:sz w:val="24"/>
                <w:szCs w:val="24"/>
              </w:rPr>
              <w:t>；运营期污水处理设施中水泵采取基础减振，</w:t>
            </w:r>
            <w:r>
              <w:rPr>
                <w:rFonts w:hint="eastAsia"/>
                <w:color w:val="auto"/>
                <w:sz w:val="24"/>
                <w:szCs w:val="24"/>
              </w:rPr>
              <w:t>隔声等措施；医疗废物</w:t>
            </w:r>
            <w:r>
              <w:rPr>
                <w:color w:val="auto"/>
                <w:sz w:val="24"/>
                <w:szCs w:val="24"/>
              </w:rPr>
              <w:t>分类收集</w:t>
            </w:r>
            <w:r>
              <w:rPr>
                <w:rFonts w:hint="eastAsia"/>
                <w:color w:val="auto"/>
                <w:sz w:val="24"/>
                <w:szCs w:val="24"/>
              </w:rPr>
              <w:t>后暂存于医废暂存间内，定期交由有资质的单位进行无害化处置；生活垃圾交由当地环卫部门处置。各类污染物均可做到达标排放或合理处置，污染物</w:t>
            </w:r>
            <w:r>
              <w:rPr>
                <w:color w:val="auto"/>
                <w:sz w:val="24"/>
                <w:szCs w:val="24"/>
              </w:rPr>
              <w:t>对环境影响较小。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eastAsia="宋体"/>
                <w:color w:val="auto"/>
                <w:sz w:val="24"/>
                <w:szCs w:val="24"/>
                <w:lang w:eastAsia="zh-CN"/>
              </w:rPr>
            </w:pPr>
            <w:r>
              <w:rPr>
                <w:color w:val="auto"/>
                <w:sz w:val="24"/>
                <w:szCs w:val="24"/>
              </w:rPr>
              <w:t>综上所述，项目的建设和运行对外环境影响</w:t>
            </w:r>
            <w:r>
              <w:rPr>
                <w:rFonts w:hint="eastAsia"/>
                <w:color w:val="auto"/>
                <w:sz w:val="24"/>
                <w:szCs w:val="24"/>
              </w:rPr>
              <w:t>较小</w:t>
            </w:r>
            <w:r>
              <w:rPr>
                <w:color w:val="auto"/>
                <w:sz w:val="24"/>
                <w:szCs w:val="24"/>
              </w:rPr>
              <w:t>，从环保角度分析，项目选址可行</w:t>
            </w:r>
            <w:r>
              <w:rPr>
                <w:rFonts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 w:val="24"/>
                <w:szCs w:val="24"/>
              </w:rPr>
            </w:pPr>
          </w:p>
          <w:p>
            <w:pPr>
              <w:autoSpaceDE w:val="0"/>
              <w:autoSpaceDN w:val="0"/>
              <w:adjustRightInd w:val="0"/>
              <w:snapToGrid w:val="0"/>
              <w:jc w:val="both"/>
              <w:rPr>
                <w:rFonts w:hint="default" w:ascii="Times New Roman" w:hAnsi="Times New Roman" w:eastAsia="宋体" w:cs="Times New Roman"/>
                <w:color w:val="auto"/>
                <w:kern w:val="0"/>
                <w:szCs w:val="21"/>
              </w:rPr>
            </w:pPr>
          </w:p>
        </w:tc>
      </w:tr>
    </w:tbl>
    <w:p>
      <w:pPr>
        <w:spacing w:line="360" w:lineRule="auto"/>
        <w:outlineLvl w:val="0"/>
        <w:rPr>
          <w:rFonts w:hint="default" w:ascii="Times New Roman" w:hAnsi="Times New Roman" w:eastAsia="宋体" w:cs="Times New Roman"/>
          <w:color w:val="auto"/>
          <w:sz w:val="30"/>
        </w:rPr>
        <w:sectPr>
          <w:footerReference r:id="rId6"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2"/>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二、建设项目工程分析</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6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424" w:type="dxa"/>
            <w:noWrap w:val="0"/>
            <w:vAlign w:val="center"/>
          </w:tcPr>
          <w:p>
            <w:pPr>
              <w:pStyle w:val="22"/>
              <w:adjustRightInd w:val="0"/>
              <w:snapToGrid w:val="0"/>
              <w:spacing w:before="0" w:beforeAutospacing="0" w:after="0" w:afterAutospacing="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建设内容</w:t>
            </w:r>
          </w:p>
        </w:tc>
        <w:tc>
          <w:tcPr>
            <w:tcW w:w="8636" w:type="dxa"/>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val="en-US" w:eastAsia="zh-CN"/>
              </w:rPr>
              <w:t>、项目概况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项目名称：</w:t>
            </w:r>
            <w:r>
              <w:rPr>
                <w:rFonts w:hint="eastAsia" w:cs="Times New Roman"/>
                <w:color w:val="auto"/>
                <w:sz w:val="24"/>
                <w:szCs w:val="24"/>
                <w:lang w:val="en-US" w:eastAsia="zh-CN"/>
              </w:rPr>
              <w:t>西安康护医院建设项目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建设地点：陕西省西安市莲湖区振华北巷7号。具体位置见附图</w:t>
            </w:r>
            <w:r>
              <w:rPr>
                <w:rFonts w:hint="eastAsia" w:cs="Times New Roman"/>
                <w:color w:val="auto"/>
                <w:sz w:val="24"/>
                <w:szCs w:val="24"/>
                <w:highlight w:val="none"/>
                <w:lang w:val="en-US" w:eastAsia="zh-CN"/>
              </w:rPr>
              <w:t>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四邻关系：</w:t>
            </w:r>
            <w:r>
              <w:rPr>
                <w:rFonts w:hint="eastAsia" w:cs="Times New Roman"/>
                <w:color w:val="auto"/>
                <w:sz w:val="24"/>
                <w:szCs w:val="24"/>
                <w:highlight w:val="none"/>
                <w:lang w:val="en-US" w:eastAsia="zh-CN"/>
              </w:rPr>
              <w:t>项目北侧和西侧紧邻上和城小区、东侧为空地，南侧为红庙坡路</w:t>
            </w:r>
            <w:r>
              <w:rPr>
                <w:rFonts w:hint="default" w:ascii="Times New Roman" w:hAnsi="Times New Roman" w:eastAsia="宋体" w:cs="Times New Roman"/>
                <w:color w:val="auto"/>
                <w:sz w:val="24"/>
                <w:szCs w:val="24"/>
                <w:highlight w:val="none"/>
              </w:rPr>
              <w:t>（详见附图</w:t>
            </w:r>
            <w:r>
              <w:rPr>
                <w:rFonts w:hint="eastAsia" w:cs="Times New Roman"/>
                <w:color w:val="auto"/>
                <w:sz w:val="24"/>
                <w:szCs w:val="24"/>
                <w:highlight w:val="none"/>
                <w:lang w:val="en-US" w:eastAsia="zh-CN"/>
              </w:rPr>
              <w:t>二</w:t>
            </w:r>
            <w:r>
              <w:rPr>
                <w:rFonts w:hint="default" w:ascii="Times New Roman" w:hAnsi="Times New Roman" w:eastAsia="宋体" w:cs="Times New Roman"/>
                <w:color w:val="auto"/>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建设单位：</w:t>
            </w:r>
            <w:r>
              <w:rPr>
                <w:rFonts w:hint="eastAsia" w:cs="Times New Roman"/>
                <w:color w:val="auto"/>
                <w:sz w:val="24"/>
                <w:szCs w:val="24"/>
                <w:highlight w:val="none"/>
                <w:lang w:val="en-US" w:eastAsia="zh-CN"/>
              </w:rPr>
              <w:t>西安康护医院管理有限公司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color w:val="auto"/>
                <w:sz w:val="24"/>
                <w:szCs w:val="24"/>
                <w:highlight w:val="none"/>
              </w:rPr>
              <w:t>建设性质：</w:t>
            </w:r>
            <w:r>
              <w:rPr>
                <w:rFonts w:hint="eastAsia" w:cs="Times New Roman"/>
                <w:color w:val="auto"/>
                <w:sz w:val="24"/>
                <w:szCs w:val="24"/>
                <w:highlight w:val="none"/>
                <w:lang w:val="en-US" w:eastAsia="zh-CN"/>
              </w:rPr>
              <w:t>新建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vertAlign w:val="baseline"/>
                <w:lang w:val="en-US" w:eastAsia="zh-CN"/>
              </w:rPr>
            </w:pPr>
            <w:r>
              <w:rPr>
                <w:rFonts w:hint="eastAsia" w:cs="Times New Roman"/>
                <w:color w:val="auto"/>
                <w:sz w:val="24"/>
                <w:szCs w:val="24"/>
                <w:highlight w:val="none"/>
                <w:vertAlign w:val="baseline"/>
                <w:lang w:val="en-US" w:eastAsia="zh-CN"/>
              </w:rPr>
              <w:t>特别说明：建设单位</w:t>
            </w:r>
            <w:r>
              <w:rPr>
                <w:rFonts w:hint="eastAsia" w:ascii="Times New Roman" w:hAnsi="Times New Roman" w:eastAsia="宋体" w:cs="Times New Roman"/>
                <w:color w:val="auto"/>
                <w:sz w:val="24"/>
                <w:szCs w:val="24"/>
                <w:highlight w:val="none"/>
                <w:vertAlign w:val="baseline"/>
                <w:lang w:val="en-US" w:eastAsia="zh-CN"/>
              </w:rPr>
              <w:t>拟安装一台医用X射线摄影系统（DR）、一台X射线计算机体层摄影设备（CT），根据《关于发布&lt;射线装置分类&gt;的公告》（环境保护部、国家卫生和计划生育委员会公告2017年第66号），DR、CT为Ⅲ类射线装置，建设单位</w:t>
            </w:r>
            <w:r>
              <w:rPr>
                <w:rFonts w:hint="eastAsia" w:cs="Times New Roman"/>
                <w:color w:val="auto"/>
                <w:sz w:val="24"/>
                <w:szCs w:val="24"/>
                <w:highlight w:val="none"/>
                <w:vertAlign w:val="baseline"/>
                <w:lang w:val="en-US" w:eastAsia="zh-CN"/>
              </w:rPr>
              <w:t>已另行</w:t>
            </w:r>
            <w:r>
              <w:rPr>
                <w:rFonts w:hint="eastAsia" w:ascii="Times New Roman" w:hAnsi="Times New Roman" w:eastAsia="宋体" w:cs="Times New Roman"/>
                <w:color w:val="auto"/>
                <w:sz w:val="24"/>
                <w:szCs w:val="24"/>
                <w:highlight w:val="none"/>
                <w:vertAlign w:val="baseline"/>
                <w:lang w:val="en-US" w:eastAsia="zh-CN"/>
              </w:rPr>
              <w:t>办理登记表</w:t>
            </w:r>
            <w:r>
              <w:rPr>
                <w:rFonts w:hint="eastAsia" w:cs="Times New Roman"/>
                <w:color w:val="auto"/>
                <w:sz w:val="24"/>
                <w:szCs w:val="24"/>
                <w:highlight w:val="none"/>
                <w:vertAlign w:val="baseline"/>
                <w:lang w:val="en-US" w:eastAsia="zh-CN"/>
              </w:rPr>
              <w:t>，备案号：202261010400000082</w:t>
            </w:r>
            <w:r>
              <w:rPr>
                <w:rFonts w:hint="eastAsia" w:ascii="Times New Roman" w:hAnsi="Times New Roman" w:eastAsia="宋体" w:cs="Times New Roman"/>
                <w:color w:val="auto"/>
                <w:sz w:val="24"/>
                <w:szCs w:val="24"/>
                <w:highlight w:val="none"/>
                <w:vertAlign w:val="baseline"/>
                <w:lang w:val="en-US" w:eastAsia="zh-CN"/>
              </w:rPr>
              <w:t>，本项目不予评价</w:t>
            </w:r>
            <w:r>
              <w:rPr>
                <w:rFonts w:hint="eastAsia" w:cs="Times New Roman"/>
                <w:color w:val="auto"/>
                <w:sz w:val="24"/>
                <w:szCs w:val="24"/>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2、建设内容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vertAlign w:val="baseline"/>
                <w:lang w:val="en-US" w:eastAsia="zh-CN"/>
              </w:rPr>
              <w:t>总占地面积约</w:t>
            </w:r>
            <w:r>
              <w:rPr>
                <w:rFonts w:hint="eastAsia" w:cs="Times New Roman"/>
                <w:color w:val="auto"/>
                <w:sz w:val="24"/>
                <w:szCs w:val="24"/>
                <w:highlight w:val="none"/>
                <w:vertAlign w:val="baseline"/>
                <w:lang w:val="en-US" w:eastAsia="zh-CN"/>
              </w:rPr>
              <w:t>2491.8</w:t>
            </w:r>
            <w:r>
              <w:rPr>
                <w:rFonts w:hint="eastAsia" w:ascii="Times New Roman" w:hAnsi="Times New Roman" w:eastAsia="宋体" w:cs="Times New Roman"/>
                <w:color w:val="auto"/>
                <w:sz w:val="24"/>
                <w:szCs w:val="24"/>
                <w:highlight w:val="none"/>
                <w:vertAlign w:val="baseline"/>
                <w:lang w:val="en-US" w:eastAsia="zh-CN"/>
              </w:rPr>
              <w:t>m</w:t>
            </w:r>
            <w:r>
              <w:rPr>
                <w:rFonts w:hint="eastAsia" w:ascii="Times New Roman" w:hAnsi="Times New Roman" w:eastAsia="宋体" w:cs="Times New Roman"/>
                <w:color w:val="auto"/>
                <w:sz w:val="24"/>
                <w:szCs w:val="24"/>
                <w:highlight w:val="none"/>
                <w:vertAlign w:val="superscript"/>
                <w:lang w:val="en-US" w:eastAsia="zh-CN"/>
              </w:rPr>
              <w:t>2</w:t>
            </w:r>
            <w:r>
              <w:rPr>
                <w:rFonts w:hint="eastAsia" w:ascii="Times New Roman" w:hAnsi="Times New Roman" w:eastAsia="宋体" w:cs="Times New Roman"/>
                <w:color w:val="auto"/>
                <w:sz w:val="24"/>
                <w:szCs w:val="24"/>
                <w:highlight w:val="none"/>
                <w:vertAlign w:val="baseline"/>
                <w:lang w:val="en-US" w:eastAsia="zh-CN"/>
              </w:rPr>
              <w:t>，</w:t>
            </w:r>
            <w:r>
              <w:rPr>
                <w:rFonts w:hint="eastAsia" w:cs="Times New Roman"/>
                <w:color w:val="auto"/>
                <w:sz w:val="24"/>
                <w:szCs w:val="24"/>
                <w:highlight w:val="none"/>
                <w:vertAlign w:val="baseline"/>
                <w:lang w:val="en-US" w:eastAsia="zh-CN"/>
              </w:rPr>
              <w:t>总</w:t>
            </w:r>
            <w:r>
              <w:rPr>
                <w:rFonts w:hint="eastAsia" w:ascii="Times New Roman" w:hAnsi="Times New Roman" w:eastAsia="宋体" w:cs="Times New Roman"/>
                <w:color w:val="auto"/>
                <w:sz w:val="24"/>
                <w:szCs w:val="24"/>
                <w:highlight w:val="none"/>
                <w:vertAlign w:val="baseline"/>
                <w:lang w:val="en-US" w:eastAsia="zh-CN"/>
              </w:rPr>
              <w:t>建筑面积约</w:t>
            </w:r>
            <w:r>
              <w:rPr>
                <w:rFonts w:hint="eastAsia" w:cs="Times New Roman"/>
                <w:color w:val="auto"/>
                <w:sz w:val="24"/>
                <w:szCs w:val="24"/>
                <w:highlight w:val="none"/>
                <w:vertAlign w:val="baseline"/>
                <w:lang w:val="en-US" w:eastAsia="zh-CN"/>
              </w:rPr>
              <w:t>6575</w:t>
            </w:r>
            <w:r>
              <w:rPr>
                <w:rFonts w:hint="eastAsia" w:ascii="Times New Roman" w:hAnsi="Times New Roman" w:eastAsia="宋体" w:cs="Times New Roman"/>
                <w:color w:val="auto"/>
                <w:sz w:val="24"/>
                <w:szCs w:val="24"/>
                <w:highlight w:val="none"/>
                <w:vertAlign w:val="baseline"/>
                <w:lang w:val="en-US" w:eastAsia="zh-CN"/>
              </w:rPr>
              <w:t>m</w:t>
            </w:r>
            <w:r>
              <w:rPr>
                <w:rFonts w:hint="eastAsia" w:ascii="Times New Roman" w:hAnsi="Times New Roman" w:eastAsia="宋体" w:cs="Times New Roman"/>
                <w:color w:val="auto"/>
                <w:sz w:val="24"/>
                <w:szCs w:val="24"/>
                <w:highlight w:val="none"/>
                <w:vertAlign w:val="superscript"/>
                <w:lang w:val="en-US" w:eastAsia="zh-CN"/>
              </w:rPr>
              <w:t>2</w:t>
            </w:r>
            <w:r>
              <w:rPr>
                <w:rFonts w:hint="eastAsia" w:ascii="Times New Roman" w:hAnsi="Times New Roman" w:eastAsia="宋体" w:cs="Times New Roman"/>
                <w:color w:val="auto"/>
                <w:sz w:val="24"/>
                <w:szCs w:val="24"/>
                <w:highlight w:val="none"/>
                <w:vertAlign w:val="baseline"/>
                <w:lang w:val="en-US" w:eastAsia="zh-CN"/>
              </w:rPr>
              <w:t>，主要建设内容包括接待大厅、病房、诊室、办公室、护士站等。项目设置</w:t>
            </w:r>
            <w:r>
              <w:rPr>
                <w:rFonts w:hint="eastAsia" w:cs="Times New Roman"/>
                <w:color w:val="auto"/>
                <w:sz w:val="24"/>
                <w:szCs w:val="24"/>
                <w:highlight w:val="none"/>
                <w:vertAlign w:val="baseline"/>
                <w:lang w:val="en-US" w:eastAsia="zh-CN"/>
              </w:rPr>
              <w:t>床位200</w:t>
            </w:r>
            <w:r>
              <w:rPr>
                <w:rFonts w:hint="eastAsia" w:ascii="Times New Roman" w:hAnsi="Times New Roman" w:eastAsia="宋体" w:cs="Times New Roman"/>
                <w:color w:val="auto"/>
                <w:sz w:val="24"/>
                <w:szCs w:val="24"/>
                <w:highlight w:val="none"/>
                <w:vertAlign w:val="baseline"/>
                <w:lang w:val="en-US" w:eastAsia="zh-CN"/>
              </w:rPr>
              <w:t>张，开设康复理疗科、</w:t>
            </w:r>
            <w:r>
              <w:rPr>
                <w:rFonts w:hint="eastAsia" w:cs="Times New Roman"/>
                <w:color w:val="auto"/>
                <w:sz w:val="24"/>
                <w:szCs w:val="24"/>
                <w:highlight w:val="none"/>
                <w:vertAlign w:val="baseline"/>
                <w:lang w:val="en-US" w:eastAsia="zh-CN"/>
              </w:rPr>
              <w:t>全科诊室</w:t>
            </w:r>
            <w:r>
              <w:rPr>
                <w:rFonts w:hint="eastAsia" w:ascii="Times New Roman" w:hAnsi="Times New Roman" w:eastAsia="宋体" w:cs="Times New Roman"/>
                <w:color w:val="auto"/>
                <w:sz w:val="24"/>
                <w:szCs w:val="24"/>
                <w:highlight w:val="none"/>
                <w:vertAlign w:val="baseline"/>
                <w:lang w:val="en-US" w:eastAsia="zh-CN"/>
              </w:rPr>
              <w:t>、检验科等医技科室。根据建设单位提供的资料，项目运营期门诊量约为100人次/日。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主要建设内容见表2-</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p>
          <w:p>
            <w:pPr>
              <w:pStyle w:val="56"/>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1"/>
                <w:szCs w:val="21"/>
                <w:highlight w:val="none"/>
              </w:rPr>
              <w:t>表2-</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 xml:space="preserve">  </w:t>
            </w:r>
            <w:r>
              <w:rPr>
                <w:rFonts w:hint="eastAsia" w:cs="Times New Roman"/>
                <w:color w:val="auto"/>
                <w:sz w:val="21"/>
                <w:szCs w:val="21"/>
                <w:highlight w:val="none"/>
                <w:lang w:val="en-US" w:eastAsia="zh-CN"/>
              </w:rPr>
              <w:t>项目</w:t>
            </w:r>
            <w:r>
              <w:rPr>
                <w:rFonts w:hint="default" w:ascii="Times New Roman" w:hAnsi="Times New Roman" w:eastAsia="宋体" w:cs="Times New Roman"/>
                <w:color w:val="auto"/>
                <w:sz w:val="21"/>
                <w:szCs w:val="21"/>
                <w:highlight w:val="none"/>
              </w:rPr>
              <w:t>工程组成表</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903"/>
              <w:gridCol w:w="5615"/>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613" w:type="pct"/>
                  <w:noWrap w:val="0"/>
                  <w:vAlign w:val="center"/>
                </w:tcPr>
                <w:p>
                  <w:pPr>
                    <w:adjustRightInd w:val="0"/>
                    <w:snapToGrid w:val="0"/>
                    <w:spacing w:line="240" w:lineRule="exact"/>
                    <w:jc w:val="center"/>
                    <w:rPr>
                      <w:b/>
                      <w:color w:val="auto"/>
                      <w:szCs w:val="21"/>
                    </w:rPr>
                  </w:pPr>
                  <w:r>
                    <w:rPr>
                      <w:b/>
                      <w:color w:val="auto"/>
                      <w:szCs w:val="21"/>
                    </w:rPr>
                    <w:t>工程分类</w:t>
                  </w:r>
                </w:p>
              </w:tc>
              <w:tc>
                <w:tcPr>
                  <w:tcW w:w="537" w:type="pct"/>
                  <w:noWrap w:val="0"/>
                  <w:vAlign w:val="center"/>
                </w:tcPr>
                <w:p>
                  <w:pPr>
                    <w:adjustRightInd w:val="0"/>
                    <w:snapToGrid w:val="0"/>
                    <w:spacing w:line="240" w:lineRule="exact"/>
                    <w:jc w:val="center"/>
                    <w:rPr>
                      <w:b/>
                      <w:color w:val="auto"/>
                      <w:szCs w:val="21"/>
                    </w:rPr>
                  </w:pPr>
                  <w:r>
                    <w:rPr>
                      <w:b/>
                      <w:color w:val="auto"/>
                      <w:szCs w:val="21"/>
                    </w:rPr>
                    <w:t>项目</w:t>
                  </w:r>
                </w:p>
                <w:p>
                  <w:pPr>
                    <w:adjustRightInd w:val="0"/>
                    <w:snapToGrid w:val="0"/>
                    <w:spacing w:line="240" w:lineRule="exact"/>
                    <w:jc w:val="center"/>
                    <w:rPr>
                      <w:b/>
                      <w:color w:val="auto"/>
                      <w:szCs w:val="21"/>
                    </w:rPr>
                  </w:pPr>
                  <w:r>
                    <w:rPr>
                      <w:b/>
                      <w:color w:val="auto"/>
                      <w:szCs w:val="21"/>
                    </w:rPr>
                    <w:t>名称</w:t>
                  </w:r>
                </w:p>
              </w:tc>
              <w:tc>
                <w:tcPr>
                  <w:tcW w:w="3339" w:type="pct"/>
                  <w:noWrap w:val="0"/>
                  <w:vAlign w:val="center"/>
                </w:tcPr>
                <w:p>
                  <w:pPr>
                    <w:adjustRightInd w:val="0"/>
                    <w:snapToGrid w:val="0"/>
                    <w:spacing w:line="240" w:lineRule="exact"/>
                    <w:jc w:val="center"/>
                    <w:rPr>
                      <w:b/>
                      <w:color w:val="auto"/>
                      <w:szCs w:val="21"/>
                    </w:rPr>
                  </w:pPr>
                  <w:r>
                    <w:rPr>
                      <w:b/>
                      <w:color w:val="auto"/>
                      <w:szCs w:val="21"/>
                    </w:rPr>
                    <w:t>建设内容及规模</w:t>
                  </w:r>
                </w:p>
              </w:tc>
              <w:tc>
                <w:tcPr>
                  <w:tcW w:w="509" w:type="pct"/>
                  <w:noWrap w:val="0"/>
                  <w:vAlign w:val="center"/>
                </w:tcPr>
                <w:p>
                  <w:pPr>
                    <w:adjustRightInd w:val="0"/>
                    <w:snapToGrid w:val="0"/>
                    <w:spacing w:line="240" w:lineRule="exact"/>
                    <w:jc w:val="center"/>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13" w:type="pct"/>
                  <w:vMerge w:val="restart"/>
                  <w:noWrap w:val="0"/>
                  <w:vAlign w:val="center"/>
                </w:tcPr>
                <w:p>
                  <w:pPr>
                    <w:adjustRightInd w:val="0"/>
                    <w:snapToGrid w:val="0"/>
                    <w:spacing w:line="240" w:lineRule="exact"/>
                    <w:jc w:val="center"/>
                    <w:rPr>
                      <w:color w:val="auto"/>
                      <w:szCs w:val="21"/>
                    </w:rPr>
                  </w:pPr>
                  <w:r>
                    <w:rPr>
                      <w:color w:val="auto"/>
                      <w:szCs w:val="21"/>
                    </w:rPr>
                    <w:t>主体工程</w:t>
                  </w:r>
                </w:p>
              </w:tc>
              <w:tc>
                <w:tcPr>
                  <w:tcW w:w="537" w:type="pct"/>
                  <w:noWrap w:val="0"/>
                  <w:vAlign w:val="center"/>
                </w:tcPr>
                <w:p>
                  <w:pPr>
                    <w:adjustRightInd w:val="0"/>
                    <w:snapToGrid w:val="0"/>
                    <w:spacing w:line="240" w:lineRule="exact"/>
                    <w:jc w:val="center"/>
                    <w:rPr>
                      <w:rFonts w:hint="default" w:eastAsia="宋体"/>
                      <w:color w:val="auto"/>
                      <w:szCs w:val="21"/>
                      <w:lang w:val="en-US" w:eastAsia="zh-CN"/>
                    </w:rPr>
                  </w:pPr>
                  <w:r>
                    <w:rPr>
                      <w:rFonts w:hint="eastAsia"/>
                      <w:color w:val="auto"/>
                      <w:szCs w:val="21"/>
                      <w:lang w:val="en-US" w:eastAsia="zh-CN"/>
                    </w:rPr>
                    <w:t>1层</w:t>
                  </w:r>
                </w:p>
              </w:tc>
              <w:tc>
                <w:tcPr>
                  <w:tcW w:w="3339" w:type="pct"/>
                  <w:noWrap w:val="0"/>
                  <w:vAlign w:val="center"/>
                </w:tcPr>
                <w:p>
                  <w:pPr>
                    <w:adjustRightInd w:val="0"/>
                    <w:snapToGrid w:val="0"/>
                    <w:spacing w:line="240" w:lineRule="exact"/>
                    <w:jc w:val="center"/>
                    <w:rPr>
                      <w:rFonts w:hint="default" w:eastAsia="宋体"/>
                      <w:color w:val="auto"/>
                      <w:szCs w:val="21"/>
                      <w:vertAlign w:val="baseline"/>
                      <w:lang w:val="en-US" w:eastAsia="zh-CN"/>
                    </w:rPr>
                  </w:pPr>
                  <w:r>
                    <w:rPr>
                      <w:rFonts w:hint="eastAsia"/>
                      <w:color w:val="auto"/>
                      <w:szCs w:val="21"/>
                      <w:lang w:val="en-US" w:eastAsia="zh-CN"/>
                    </w:rPr>
                    <w:t>建筑面积940m</w:t>
                  </w:r>
                  <w:r>
                    <w:rPr>
                      <w:rFonts w:hint="eastAsia"/>
                      <w:color w:val="auto"/>
                      <w:szCs w:val="21"/>
                      <w:vertAlign w:val="superscript"/>
                      <w:lang w:val="en-US" w:eastAsia="zh-CN"/>
                    </w:rPr>
                    <w:t>2</w:t>
                  </w:r>
                  <w:r>
                    <w:rPr>
                      <w:rFonts w:hint="eastAsia"/>
                      <w:color w:val="auto"/>
                      <w:szCs w:val="21"/>
                      <w:vertAlign w:val="baseline"/>
                      <w:lang w:val="en-US" w:eastAsia="zh-CN"/>
                    </w:rPr>
                    <w:t>，钢筋混凝土结构，包括全科诊室，输液室，药房，心脑电B超，检验科，康复理疗科等</w:t>
                  </w:r>
                </w:p>
              </w:tc>
              <w:tc>
                <w:tcPr>
                  <w:tcW w:w="509" w:type="pct"/>
                  <w:noWrap w:val="0"/>
                  <w:vAlign w:val="center"/>
                </w:tcPr>
                <w:p>
                  <w:pPr>
                    <w:adjustRightInd w:val="0"/>
                    <w:snapToGrid w:val="0"/>
                    <w:spacing w:line="240" w:lineRule="exact"/>
                    <w:jc w:val="center"/>
                    <w:rPr>
                      <w:rFonts w:hint="eastAsia" w:eastAsia="宋体"/>
                      <w:color w:val="auto"/>
                      <w:szCs w:val="21"/>
                      <w:lang w:val="en-US" w:eastAsia="zh-CN"/>
                    </w:rPr>
                  </w:pPr>
                  <w:r>
                    <w:rPr>
                      <w:color w:val="auto"/>
                      <w:szCs w:val="21"/>
                    </w:rPr>
                    <w:t>新建</w:t>
                  </w: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rFonts w:hint="default" w:eastAsia="宋体"/>
                      <w:color w:val="auto"/>
                      <w:szCs w:val="21"/>
                      <w:lang w:val="en-US" w:eastAsia="zh-CN"/>
                    </w:rPr>
                  </w:pPr>
                  <w:r>
                    <w:rPr>
                      <w:rFonts w:hint="eastAsia"/>
                      <w:color w:val="auto"/>
                      <w:szCs w:val="21"/>
                      <w:lang w:val="en-US" w:eastAsia="zh-CN"/>
                    </w:rPr>
                    <w:t>2层</w:t>
                  </w:r>
                </w:p>
              </w:tc>
              <w:tc>
                <w:tcPr>
                  <w:tcW w:w="3339" w:type="pct"/>
                  <w:noWrap w:val="0"/>
                  <w:vAlign w:val="center"/>
                </w:tcPr>
                <w:p>
                  <w:pPr>
                    <w:adjustRightInd w:val="0"/>
                    <w:snapToGrid w:val="0"/>
                    <w:spacing w:line="240" w:lineRule="exact"/>
                    <w:jc w:val="center"/>
                    <w:rPr>
                      <w:color w:val="auto"/>
                      <w:szCs w:val="21"/>
                    </w:rPr>
                  </w:pPr>
                  <w:r>
                    <w:rPr>
                      <w:rFonts w:hint="eastAsia"/>
                      <w:color w:val="auto"/>
                      <w:szCs w:val="21"/>
                      <w:lang w:val="en-US" w:eastAsia="zh-CN"/>
                    </w:rPr>
                    <w:t>建筑面积940m</w:t>
                  </w:r>
                  <w:r>
                    <w:rPr>
                      <w:rFonts w:hint="eastAsia"/>
                      <w:color w:val="auto"/>
                      <w:szCs w:val="21"/>
                      <w:vertAlign w:val="superscript"/>
                      <w:lang w:val="en-US" w:eastAsia="zh-CN"/>
                    </w:rPr>
                    <w:t>2</w:t>
                  </w:r>
                  <w:r>
                    <w:rPr>
                      <w:rFonts w:hint="eastAsia"/>
                      <w:color w:val="auto"/>
                      <w:szCs w:val="21"/>
                      <w:vertAlign w:val="baseline"/>
                      <w:lang w:val="en-US" w:eastAsia="zh-CN"/>
                    </w:rPr>
                    <w:t>，钢筋混凝土结构，包括幼儿托育中心、办公室、库房等</w:t>
                  </w:r>
                </w:p>
              </w:tc>
              <w:tc>
                <w:tcPr>
                  <w:tcW w:w="509" w:type="pct"/>
                  <w:noWrap w:val="0"/>
                  <w:vAlign w:val="center"/>
                </w:tcPr>
                <w:p>
                  <w:pPr>
                    <w:adjustRightInd w:val="0"/>
                    <w:snapToGrid w:val="0"/>
                    <w:spacing w:line="240" w:lineRule="exact"/>
                    <w:jc w:val="center"/>
                    <w:rPr>
                      <w:rFonts w:hint="eastAsia" w:eastAsia="宋体"/>
                      <w:color w:val="auto"/>
                      <w:szCs w:val="21"/>
                      <w:lang w:val="en-US" w:eastAsia="zh-CN"/>
                    </w:rPr>
                  </w:pPr>
                  <w:r>
                    <w:rPr>
                      <w:color w:val="auto"/>
                      <w:szCs w:val="21"/>
                    </w:rPr>
                    <w:t>新建</w:t>
                  </w: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rFonts w:hint="default"/>
                      <w:color w:val="auto"/>
                      <w:szCs w:val="21"/>
                      <w:lang w:val="en-US" w:eastAsia="zh-CN"/>
                    </w:rPr>
                  </w:pPr>
                  <w:r>
                    <w:rPr>
                      <w:rFonts w:hint="eastAsia"/>
                      <w:color w:val="auto"/>
                      <w:szCs w:val="21"/>
                      <w:lang w:val="en-US" w:eastAsia="zh-CN"/>
                    </w:rPr>
                    <w:t>3层</w:t>
                  </w:r>
                </w:p>
              </w:tc>
              <w:tc>
                <w:tcPr>
                  <w:tcW w:w="3339" w:type="pct"/>
                  <w:noWrap w:val="0"/>
                  <w:vAlign w:val="center"/>
                </w:tcPr>
                <w:p>
                  <w:pPr>
                    <w:adjustRightInd w:val="0"/>
                    <w:snapToGrid w:val="0"/>
                    <w:spacing w:line="240" w:lineRule="exact"/>
                    <w:jc w:val="center"/>
                    <w:rPr>
                      <w:color w:val="auto"/>
                      <w:szCs w:val="21"/>
                    </w:rPr>
                  </w:pPr>
                  <w:r>
                    <w:rPr>
                      <w:rFonts w:hint="eastAsia"/>
                      <w:color w:val="auto"/>
                      <w:szCs w:val="21"/>
                      <w:lang w:val="en-US" w:eastAsia="zh-CN"/>
                    </w:rPr>
                    <w:t>建筑面积940m</w:t>
                  </w:r>
                  <w:r>
                    <w:rPr>
                      <w:rFonts w:hint="eastAsia"/>
                      <w:color w:val="auto"/>
                      <w:szCs w:val="21"/>
                      <w:vertAlign w:val="superscript"/>
                      <w:lang w:val="en-US" w:eastAsia="zh-CN"/>
                    </w:rPr>
                    <w:t>2</w:t>
                  </w:r>
                  <w:r>
                    <w:rPr>
                      <w:rFonts w:hint="eastAsia"/>
                      <w:color w:val="auto"/>
                      <w:szCs w:val="21"/>
                      <w:vertAlign w:val="baseline"/>
                      <w:lang w:val="en-US" w:eastAsia="zh-CN"/>
                    </w:rPr>
                    <w:t>，钢筋混凝土结构，包括病房（18间）、医办室，护办室等</w:t>
                  </w:r>
                </w:p>
              </w:tc>
              <w:tc>
                <w:tcPr>
                  <w:tcW w:w="509" w:type="pct"/>
                  <w:noWrap w:val="0"/>
                  <w:vAlign w:val="center"/>
                </w:tcPr>
                <w:p>
                  <w:pPr>
                    <w:adjustRightInd w:val="0"/>
                    <w:snapToGrid w:val="0"/>
                    <w:spacing w:line="240" w:lineRule="exact"/>
                    <w:jc w:val="center"/>
                    <w:rPr>
                      <w:rFonts w:hint="eastAsia" w:ascii="Times New Roman" w:hAnsi="Times New Roman" w:eastAsia="宋体" w:cs="Times New Roman"/>
                      <w:color w:val="auto"/>
                      <w:kern w:val="2"/>
                      <w:sz w:val="21"/>
                      <w:szCs w:val="21"/>
                      <w:lang w:val="en-US" w:eastAsia="zh-CN" w:bidi="ar-SA"/>
                    </w:rPr>
                  </w:pPr>
                  <w:r>
                    <w:rPr>
                      <w:color w:val="auto"/>
                      <w:szCs w:val="21"/>
                    </w:rPr>
                    <w:t>新建</w:t>
                  </w: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rFonts w:hint="default"/>
                      <w:color w:val="auto"/>
                      <w:szCs w:val="21"/>
                      <w:lang w:val="en-US" w:eastAsia="zh-CN"/>
                    </w:rPr>
                  </w:pPr>
                  <w:r>
                    <w:rPr>
                      <w:rFonts w:hint="eastAsia"/>
                      <w:color w:val="auto"/>
                      <w:szCs w:val="21"/>
                      <w:lang w:val="en-US" w:eastAsia="zh-CN"/>
                    </w:rPr>
                    <w:t>4层</w:t>
                  </w:r>
                </w:p>
              </w:tc>
              <w:tc>
                <w:tcPr>
                  <w:tcW w:w="3339" w:type="pct"/>
                  <w:noWrap w:val="0"/>
                  <w:vAlign w:val="center"/>
                </w:tcPr>
                <w:p>
                  <w:pPr>
                    <w:adjustRightInd w:val="0"/>
                    <w:snapToGrid w:val="0"/>
                    <w:spacing w:line="240" w:lineRule="exact"/>
                    <w:jc w:val="center"/>
                    <w:rPr>
                      <w:color w:val="auto"/>
                      <w:szCs w:val="21"/>
                    </w:rPr>
                  </w:pPr>
                  <w:r>
                    <w:rPr>
                      <w:rFonts w:hint="eastAsia"/>
                      <w:color w:val="auto"/>
                      <w:szCs w:val="21"/>
                      <w:lang w:val="en-US" w:eastAsia="zh-CN"/>
                    </w:rPr>
                    <w:t>建筑面积940m</w:t>
                  </w:r>
                  <w:r>
                    <w:rPr>
                      <w:rFonts w:hint="eastAsia"/>
                      <w:color w:val="auto"/>
                      <w:szCs w:val="21"/>
                      <w:vertAlign w:val="superscript"/>
                      <w:lang w:val="en-US" w:eastAsia="zh-CN"/>
                    </w:rPr>
                    <w:t>2</w:t>
                  </w:r>
                  <w:r>
                    <w:rPr>
                      <w:rFonts w:hint="eastAsia"/>
                      <w:color w:val="auto"/>
                      <w:szCs w:val="21"/>
                      <w:vertAlign w:val="baseline"/>
                      <w:lang w:val="en-US" w:eastAsia="zh-CN"/>
                    </w:rPr>
                    <w:t>，钢筋混凝土结构，包括病房（19间）、医办室，护办室等</w:t>
                  </w:r>
                </w:p>
              </w:tc>
              <w:tc>
                <w:tcPr>
                  <w:tcW w:w="509" w:type="pct"/>
                  <w:noWrap w:val="0"/>
                  <w:vAlign w:val="center"/>
                </w:tcPr>
                <w:p>
                  <w:pPr>
                    <w:adjustRightInd w:val="0"/>
                    <w:snapToGrid w:val="0"/>
                    <w:spacing w:line="240" w:lineRule="exact"/>
                    <w:jc w:val="center"/>
                    <w:rPr>
                      <w:rFonts w:hint="eastAsia" w:ascii="Times New Roman" w:hAnsi="Times New Roman" w:eastAsia="宋体" w:cs="Times New Roman"/>
                      <w:color w:val="auto"/>
                      <w:kern w:val="2"/>
                      <w:sz w:val="21"/>
                      <w:szCs w:val="21"/>
                      <w:lang w:val="en-US" w:eastAsia="zh-CN" w:bidi="ar-SA"/>
                    </w:rPr>
                  </w:pPr>
                  <w:r>
                    <w:rPr>
                      <w:color w:val="auto"/>
                      <w:szCs w:val="21"/>
                    </w:rPr>
                    <w:t>新建</w:t>
                  </w: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rFonts w:hint="eastAsia"/>
                      <w:color w:val="auto"/>
                      <w:szCs w:val="21"/>
                      <w:lang w:val="en-US" w:eastAsia="zh-CN"/>
                    </w:rPr>
                  </w:pPr>
                  <w:r>
                    <w:rPr>
                      <w:rFonts w:hint="eastAsia"/>
                      <w:color w:val="auto"/>
                      <w:szCs w:val="21"/>
                      <w:lang w:val="en-US" w:eastAsia="zh-CN"/>
                    </w:rPr>
                    <w:t>5层</w:t>
                  </w:r>
                </w:p>
              </w:tc>
              <w:tc>
                <w:tcPr>
                  <w:tcW w:w="3339" w:type="pct"/>
                  <w:noWrap w:val="0"/>
                  <w:vAlign w:val="center"/>
                </w:tcPr>
                <w:p>
                  <w:pPr>
                    <w:adjustRightInd w:val="0"/>
                    <w:snapToGrid w:val="0"/>
                    <w:spacing w:line="240" w:lineRule="exact"/>
                    <w:jc w:val="center"/>
                    <w:rPr>
                      <w:color w:val="auto"/>
                      <w:szCs w:val="21"/>
                    </w:rPr>
                  </w:pPr>
                  <w:r>
                    <w:rPr>
                      <w:rFonts w:hint="eastAsia"/>
                      <w:color w:val="auto"/>
                      <w:szCs w:val="21"/>
                      <w:lang w:val="en-US" w:eastAsia="zh-CN"/>
                    </w:rPr>
                    <w:t>建筑面积940m</w:t>
                  </w:r>
                  <w:r>
                    <w:rPr>
                      <w:rFonts w:hint="eastAsia"/>
                      <w:color w:val="auto"/>
                      <w:szCs w:val="21"/>
                      <w:vertAlign w:val="superscript"/>
                      <w:lang w:val="en-US" w:eastAsia="zh-CN"/>
                    </w:rPr>
                    <w:t>2</w:t>
                  </w:r>
                  <w:r>
                    <w:rPr>
                      <w:rFonts w:hint="eastAsia"/>
                      <w:color w:val="auto"/>
                      <w:szCs w:val="21"/>
                      <w:vertAlign w:val="baseline"/>
                      <w:lang w:val="en-US" w:eastAsia="zh-CN"/>
                    </w:rPr>
                    <w:t>，钢筋混凝土结构，包括病房（16间）、医办室，护办室等</w:t>
                  </w:r>
                </w:p>
              </w:tc>
              <w:tc>
                <w:tcPr>
                  <w:tcW w:w="509" w:type="pct"/>
                  <w:noWrap w:val="0"/>
                  <w:vAlign w:val="center"/>
                </w:tcPr>
                <w:p>
                  <w:pPr>
                    <w:adjustRightInd w:val="0"/>
                    <w:snapToGrid w:val="0"/>
                    <w:spacing w:line="240" w:lineRule="exact"/>
                    <w:jc w:val="center"/>
                    <w:rPr>
                      <w:rFonts w:hint="eastAsia" w:ascii="Times New Roman" w:hAnsi="Times New Roman" w:eastAsia="宋体" w:cs="Times New Roman"/>
                      <w:color w:val="auto"/>
                      <w:kern w:val="2"/>
                      <w:sz w:val="21"/>
                      <w:szCs w:val="21"/>
                      <w:lang w:val="en-US" w:eastAsia="zh-CN" w:bidi="ar-SA"/>
                    </w:rPr>
                  </w:pPr>
                  <w:r>
                    <w:rPr>
                      <w:color w:val="auto"/>
                      <w:szCs w:val="21"/>
                    </w:rPr>
                    <w:t>新建</w:t>
                  </w: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rFonts w:hint="eastAsia"/>
                      <w:color w:val="auto"/>
                      <w:szCs w:val="21"/>
                      <w:lang w:val="en-US" w:eastAsia="zh-CN"/>
                    </w:rPr>
                  </w:pPr>
                  <w:r>
                    <w:rPr>
                      <w:rFonts w:hint="eastAsia"/>
                      <w:color w:val="auto"/>
                      <w:szCs w:val="21"/>
                      <w:lang w:val="en-US" w:eastAsia="zh-CN"/>
                    </w:rPr>
                    <w:t>6层</w:t>
                  </w:r>
                </w:p>
              </w:tc>
              <w:tc>
                <w:tcPr>
                  <w:tcW w:w="3339" w:type="pct"/>
                  <w:noWrap w:val="0"/>
                  <w:vAlign w:val="center"/>
                </w:tcPr>
                <w:p>
                  <w:pPr>
                    <w:adjustRightInd w:val="0"/>
                    <w:snapToGrid w:val="0"/>
                    <w:spacing w:line="240" w:lineRule="exact"/>
                    <w:jc w:val="center"/>
                    <w:rPr>
                      <w:color w:val="auto"/>
                      <w:szCs w:val="21"/>
                    </w:rPr>
                  </w:pPr>
                  <w:r>
                    <w:rPr>
                      <w:rFonts w:hint="eastAsia"/>
                      <w:color w:val="auto"/>
                      <w:szCs w:val="21"/>
                      <w:lang w:val="en-US" w:eastAsia="zh-CN"/>
                    </w:rPr>
                    <w:t>建筑面积940m</w:t>
                  </w:r>
                  <w:r>
                    <w:rPr>
                      <w:rFonts w:hint="eastAsia"/>
                      <w:color w:val="auto"/>
                      <w:szCs w:val="21"/>
                      <w:vertAlign w:val="superscript"/>
                      <w:lang w:val="en-US" w:eastAsia="zh-CN"/>
                    </w:rPr>
                    <w:t>2</w:t>
                  </w:r>
                  <w:r>
                    <w:rPr>
                      <w:rFonts w:hint="eastAsia"/>
                      <w:color w:val="auto"/>
                      <w:szCs w:val="21"/>
                      <w:vertAlign w:val="baseline"/>
                      <w:lang w:val="en-US" w:eastAsia="zh-CN"/>
                    </w:rPr>
                    <w:t>，钢筋混凝土结构，包括病房（19间）、医办室，护办室等</w:t>
                  </w:r>
                </w:p>
              </w:tc>
              <w:tc>
                <w:tcPr>
                  <w:tcW w:w="509" w:type="pct"/>
                  <w:noWrap w:val="0"/>
                  <w:vAlign w:val="center"/>
                </w:tcPr>
                <w:p>
                  <w:pPr>
                    <w:adjustRightInd w:val="0"/>
                    <w:snapToGrid w:val="0"/>
                    <w:spacing w:line="240" w:lineRule="exact"/>
                    <w:jc w:val="center"/>
                    <w:rPr>
                      <w:rFonts w:hint="eastAsia" w:ascii="Times New Roman" w:hAnsi="Times New Roman" w:eastAsia="宋体" w:cs="Times New Roman"/>
                      <w:color w:val="auto"/>
                      <w:kern w:val="2"/>
                      <w:sz w:val="21"/>
                      <w:szCs w:val="21"/>
                      <w:lang w:val="en-US" w:eastAsia="zh-CN" w:bidi="ar-SA"/>
                    </w:rPr>
                  </w:pPr>
                  <w:r>
                    <w:rPr>
                      <w:color w:val="auto"/>
                      <w:szCs w:val="21"/>
                    </w:rPr>
                    <w:t>新建</w:t>
                  </w: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rFonts w:hint="eastAsia"/>
                      <w:color w:val="auto"/>
                      <w:szCs w:val="21"/>
                      <w:lang w:val="en-US" w:eastAsia="zh-CN"/>
                    </w:rPr>
                  </w:pPr>
                  <w:r>
                    <w:rPr>
                      <w:rFonts w:hint="eastAsia"/>
                      <w:color w:val="auto"/>
                      <w:szCs w:val="21"/>
                      <w:lang w:val="en-US" w:eastAsia="zh-CN"/>
                    </w:rPr>
                    <w:t>7层</w:t>
                  </w:r>
                </w:p>
              </w:tc>
              <w:tc>
                <w:tcPr>
                  <w:tcW w:w="3339" w:type="pct"/>
                  <w:noWrap w:val="0"/>
                  <w:vAlign w:val="center"/>
                </w:tcPr>
                <w:p>
                  <w:pPr>
                    <w:adjustRightInd w:val="0"/>
                    <w:snapToGrid w:val="0"/>
                    <w:spacing w:line="240" w:lineRule="exact"/>
                    <w:jc w:val="center"/>
                    <w:rPr>
                      <w:color w:val="auto"/>
                      <w:szCs w:val="21"/>
                    </w:rPr>
                  </w:pPr>
                  <w:r>
                    <w:rPr>
                      <w:rFonts w:hint="eastAsia"/>
                      <w:color w:val="auto"/>
                      <w:szCs w:val="21"/>
                      <w:lang w:val="en-US" w:eastAsia="zh-CN"/>
                    </w:rPr>
                    <w:t>建筑面积940m</w:t>
                  </w:r>
                  <w:r>
                    <w:rPr>
                      <w:rFonts w:hint="eastAsia"/>
                      <w:color w:val="auto"/>
                      <w:szCs w:val="21"/>
                      <w:vertAlign w:val="superscript"/>
                      <w:lang w:val="en-US" w:eastAsia="zh-CN"/>
                    </w:rPr>
                    <w:t>2</w:t>
                  </w:r>
                  <w:r>
                    <w:rPr>
                      <w:rFonts w:hint="eastAsia"/>
                      <w:color w:val="auto"/>
                      <w:szCs w:val="21"/>
                      <w:vertAlign w:val="baseline"/>
                      <w:lang w:val="en-US" w:eastAsia="zh-CN"/>
                    </w:rPr>
                    <w:t>，钢筋混凝土结构，包括财务科、病案科、办公室、多功能室、食堂等</w:t>
                  </w:r>
                </w:p>
              </w:tc>
              <w:tc>
                <w:tcPr>
                  <w:tcW w:w="509" w:type="pct"/>
                  <w:noWrap w:val="0"/>
                  <w:vAlign w:val="center"/>
                </w:tcPr>
                <w:p>
                  <w:pPr>
                    <w:adjustRightInd w:val="0"/>
                    <w:snapToGrid w:val="0"/>
                    <w:spacing w:line="240" w:lineRule="exact"/>
                    <w:jc w:val="center"/>
                    <w:rPr>
                      <w:rFonts w:hint="eastAsia" w:ascii="Times New Roman" w:hAnsi="Times New Roman" w:eastAsia="宋体" w:cs="Times New Roman"/>
                      <w:color w:val="auto"/>
                      <w:kern w:val="2"/>
                      <w:sz w:val="21"/>
                      <w:szCs w:val="21"/>
                      <w:lang w:val="en-US" w:eastAsia="zh-CN" w:bidi="ar-SA"/>
                    </w:rPr>
                  </w:pPr>
                  <w:r>
                    <w:rPr>
                      <w:color w:val="auto"/>
                      <w:szCs w:val="21"/>
                    </w:rPr>
                    <w:t>新建</w:t>
                  </w: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13" w:type="pct"/>
                  <w:noWrap w:val="0"/>
                  <w:vAlign w:val="center"/>
                </w:tcPr>
                <w:p>
                  <w:pPr>
                    <w:adjustRightInd w:val="0"/>
                    <w:snapToGrid w:val="0"/>
                    <w:spacing w:line="240" w:lineRule="exact"/>
                    <w:jc w:val="center"/>
                    <w:rPr>
                      <w:rFonts w:hint="default" w:eastAsia="宋体"/>
                      <w:color w:val="auto"/>
                      <w:szCs w:val="21"/>
                      <w:lang w:val="en-US" w:eastAsia="zh-CN"/>
                    </w:rPr>
                  </w:pPr>
                  <w:r>
                    <w:rPr>
                      <w:rFonts w:hint="eastAsia"/>
                      <w:color w:val="auto"/>
                      <w:szCs w:val="21"/>
                      <w:lang w:val="en-US" w:eastAsia="zh-CN"/>
                    </w:rPr>
                    <w:t>辅助工程</w:t>
                  </w:r>
                </w:p>
              </w:tc>
              <w:tc>
                <w:tcPr>
                  <w:tcW w:w="537" w:type="pct"/>
                  <w:noWrap w:val="0"/>
                  <w:vAlign w:val="center"/>
                </w:tcPr>
                <w:p>
                  <w:pPr>
                    <w:adjustRightInd w:val="0"/>
                    <w:snapToGrid w:val="0"/>
                    <w:spacing w:line="240" w:lineRule="exact"/>
                    <w:jc w:val="center"/>
                    <w:rPr>
                      <w:rFonts w:hint="default"/>
                      <w:color w:val="auto"/>
                      <w:szCs w:val="21"/>
                      <w:lang w:val="en-US" w:eastAsia="zh-CN"/>
                    </w:rPr>
                  </w:pPr>
                  <w:r>
                    <w:rPr>
                      <w:rFonts w:hint="eastAsia"/>
                      <w:color w:val="auto"/>
                      <w:szCs w:val="21"/>
                      <w:lang w:val="en-US" w:eastAsia="zh-CN"/>
                    </w:rPr>
                    <w:t>备用发电</w:t>
                  </w:r>
                </w:p>
              </w:tc>
              <w:tc>
                <w:tcPr>
                  <w:tcW w:w="3339" w:type="pct"/>
                  <w:noWrap w:val="0"/>
                  <w:vAlign w:val="center"/>
                </w:tcPr>
                <w:p>
                  <w:pPr>
                    <w:adjustRightInd w:val="0"/>
                    <w:snapToGrid w:val="0"/>
                    <w:spacing w:line="240" w:lineRule="exact"/>
                    <w:jc w:val="center"/>
                    <w:rPr>
                      <w:rFonts w:hint="default"/>
                      <w:color w:val="auto"/>
                      <w:szCs w:val="21"/>
                      <w:lang w:val="en-US" w:eastAsia="zh-CN"/>
                    </w:rPr>
                  </w:pPr>
                  <w:r>
                    <w:rPr>
                      <w:rFonts w:hint="eastAsia"/>
                      <w:color w:val="auto"/>
                      <w:szCs w:val="21"/>
                      <w:lang w:val="en-US" w:eastAsia="zh-CN"/>
                    </w:rPr>
                    <w:t>设置1台柴油备用发电机，安置在院内污水处理站西侧</w:t>
                  </w:r>
                </w:p>
              </w:tc>
              <w:tc>
                <w:tcPr>
                  <w:tcW w:w="509" w:type="pct"/>
                  <w:noWrap w:val="0"/>
                  <w:vAlign w:val="center"/>
                </w:tcPr>
                <w:p>
                  <w:pPr>
                    <w:adjustRightInd w:val="0"/>
                    <w:snapToGrid w:val="0"/>
                    <w:spacing w:line="240" w:lineRule="exact"/>
                    <w:jc w:val="center"/>
                    <w:rPr>
                      <w:rFonts w:hint="eastAsia" w:eastAsia="宋体"/>
                      <w:color w:val="auto"/>
                      <w:szCs w:val="21"/>
                      <w:lang w:val="en-US" w:eastAsia="zh-CN"/>
                    </w:rPr>
                  </w:pPr>
                  <w:r>
                    <w:rPr>
                      <w:rFonts w:hint="eastAsia"/>
                      <w:color w:val="auto"/>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613" w:type="pct"/>
                  <w:vMerge w:val="restart"/>
                  <w:noWrap w:val="0"/>
                  <w:vAlign w:val="center"/>
                </w:tcPr>
                <w:p>
                  <w:pPr>
                    <w:adjustRightInd w:val="0"/>
                    <w:snapToGrid w:val="0"/>
                    <w:spacing w:line="240" w:lineRule="exact"/>
                    <w:jc w:val="center"/>
                    <w:rPr>
                      <w:color w:val="auto"/>
                      <w:szCs w:val="21"/>
                    </w:rPr>
                  </w:pPr>
                  <w:r>
                    <w:rPr>
                      <w:color w:val="auto"/>
                      <w:szCs w:val="21"/>
                    </w:rPr>
                    <w:t>公用工程</w:t>
                  </w:r>
                </w:p>
              </w:tc>
              <w:tc>
                <w:tcPr>
                  <w:tcW w:w="537" w:type="pct"/>
                  <w:noWrap w:val="0"/>
                  <w:vAlign w:val="center"/>
                </w:tcPr>
                <w:p>
                  <w:pPr>
                    <w:adjustRightInd w:val="0"/>
                    <w:snapToGrid w:val="0"/>
                    <w:spacing w:line="240" w:lineRule="exact"/>
                    <w:jc w:val="center"/>
                    <w:rPr>
                      <w:color w:val="auto"/>
                      <w:szCs w:val="21"/>
                    </w:rPr>
                  </w:pPr>
                  <w:r>
                    <w:rPr>
                      <w:color w:val="auto"/>
                      <w:szCs w:val="21"/>
                    </w:rPr>
                    <w:t>供电</w:t>
                  </w:r>
                </w:p>
              </w:tc>
              <w:tc>
                <w:tcPr>
                  <w:tcW w:w="3339" w:type="pct"/>
                  <w:noWrap w:val="0"/>
                  <w:vAlign w:val="center"/>
                </w:tcPr>
                <w:p>
                  <w:pPr>
                    <w:adjustRightInd w:val="0"/>
                    <w:snapToGrid w:val="0"/>
                    <w:spacing w:line="240" w:lineRule="exact"/>
                    <w:jc w:val="center"/>
                    <w:rPr>
                      <w:color w:val="auto"/>
                      <w:szCs w:val="21"/>
                    </w:rPr>
                  </w:pPr>
                  <w:r>
                    <w:rPr>
                      <w:color w:val="auto"/>
                      <w:szCs w:val="21"/>
                    </w:rPr>
                    <w:t>采用市政供电</w:t>
                  </w:r>
                </w:p>
              </w:tc>
              <w:tc>
                <w:tcPr>
                  <w:tcW w:w="509" w:type="pct"/>
                  <w:noWrap w:val="0"/>
                  <w:vAlign w:val="center"/>
                </w:tcPr>
                <w:p>
                  <w:pPr>
                    <w:adjustRightInd w:val="0"/>
                    <w:snapToGrid w:val="0"/>
                    <w:spacing w:line="240" w:lineRule="exact"/>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color w:val="auto"/>
                      <w:szCs w:val="21"/>
                    </w:rPr>
                  </w:pPr>
                  <w:r>
                    <w:rPr>
                      <w:color w:val="auto"/>
                      <w:szCs w:val="21"/>
                    </w:rPr>
                    <w:t>供水</w:t>
                  </w:r>
                </w:p>
              </w:tc>
              <w:tc>
                <w:tcPr>
                  <w:tcW w:w="3339" w:type="pct"/>
                  <w:noWrap w:val="0"/>
                  <w:vAlign w:val="center"/>
                </w:tcPr>
                <w:p>
                  <w:pPr>
                    <w:adjustRightInd w:val="0"/>
                    <w:snapToGrid w:val="0"/>
                    <w:spacing w:line="240" w:lineRule="exact"/>
                    <w:jc w:val="center"/>
                    <w:rPr>
                      <w:color w:val="auto"/>
                      <w:szCs w:val="21"/>
                    </w:rPr>
                  </w:pPr>
                  <w:r>
                    <w:rPr>
                      <w:color w:val="auto"/>
                      <w:szCs w:val="21"/>
                    </w:rPr>
                    <w:t>市政供水管网供水</w:t>
                  </w:r>
                </w:p>
              </w:tc>
              <w:tc>
                <w:tcPr>
                  <w:tcW w:w="509" w:type="pct"/>
                  <w:noWrap w:val="0"/>
                  <w:vAlign w:val="center"/>
                </w:tcPr>
                <w:p>
                  <w:pPr>
                    <w:adjustRightInd w:val="0"/>
                    <w:snapToGrid w:val="0"/>
                    <w:spacing w:line="240" w:lineRule="exact"/>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rFonts w:hint="eastAsia"/>
                      <w:color w:val="auto"/>
                      <w:szCs w:val="21"/>
                    </w:rPr>
                  </w:pPr>
                  <w:r>
                    <w:rPr>
                      <w:rFonts w:hint="eastAsia"/>
                      <w:color w:val="auto"/>
                      <w:szCs w:val="21"/>
                    </w:rPr>
                    <w:t>食宿</w:t>
                  </w:r>
                </w:p>
              </w:tc>
              <w:tc>
                <w:tcPr>
                  <w:tcW w:w="3339" w:type="pct"/>
                  <w:noWrap w:val="0"/>
                  <w:vAlign w:val="center"/>
                </w:tcPr>
                <w:p>
                  <w:pPr>
                    <w:adjustRightInd w:val="0"/>
                    <w:snapToGrid w:val="0"/>
                    <w:spacing w:line="240" w:lineRule="exact"/>
                    <w:jc w:val="center"/>
                    <w:rPr>
                      <w:color w:val="auto"/>
                      <w:szCs w:val="21"/>
                    </w:rPr>
                  </w:pPr>
                  <w:r>
                    <w:rPr>
                      <w:rFonts w:hint="eastAsia"/>
                      <w:color w:val="auto"/>
                      <w:szCs w:val="21"/>
                    </w:rPr>
                    <w:t>医院内不设置住宿，</w:t>
                  </w:r>
                  <w:r>
                    <w:rPr>
                      <w:rFonts w:hint="eastAsia"/>
                      <w:color w:val="auto"/>
                      <w:szCs w:val="21"/>
                      <w:lang w:val="en-US" w:eastAsia="zh-CN"/>
                    </w:rPr>
                    <w:t>7</w:t>
                  </w:r>
                  <w:r>
                    <w:rPr>
                      <w:rFonts w:hint="eastAsia"/>
                      <w:color w:val="auto"/>
                      <w:szCs w:val="21"/>
                    </w:rPr>
                    <w:t>楼设有员工食堂，</w:t>
                  </w:r>
                  <w:r>
                    <w:rPr>
                      <w:rFonts w:hint="eastAsia"/>
                      <w:color w:val="auto"/>
                      <w:szCs w:val="21"/>
                      <w:lang w:val="en-US" w:eastAsia="zh-CN"/>
                    </w:rPr>
                    <w:t>食堂面积120m</w:t>
                  </w:r>
                  <w:r>
                    <w:rPr>
                      <w:rFonts w:hint="eastAsia"/>
                      <w:color w:val="auto"/>
                      <w:szCs w:val="21"/>
                      <w:vertAlign w:val="superscript"/>
                      <w:lang w:val="en-US" w:eastAsia="zh-CN"/>
                    </w:rPr>
                    <w:t>2</w:t>
                  </w:r>
                  <w:r>
                    <w:rPr>
                      <w:rFonts w:hint="eastAsia"/>
                      <w:color w:val="auto"/>
                      <w:szCs w:val="21"/>
                    </w:rPr>
                    <w:t>，设置2个灶头</w:t>
                  </w:r>
                </w:p>
              </w:tc>
              <w:tc>
                <w:tcPr>
                  <w:tcW w:w="509" w:type="pct"/>
                  <w:noWrap w:val="0"/>
                  <w:vAlign w:val="center"/>
                </w:tcPr>
                <w:p>
                  <w:pPr>
                    <w:adjustRightInd w:val="0"/>
                    <w:snapToGrid w:val="0"/>
                    <w:spacing w:line="240" w:lineRule="exact"/>
                    <w:jc w:val="center"/>
                    <w:rPr>
                      <w:rFonts w:hint="eastAsia"/>
                      <w:color w:val="auto"/>
                      <w:szCs w:val="21"/>
                    </w:rPr>
                  </w:pPr>
                  <w:r>
                    <w:rPr>
                      <w:rFonts w:hint="eastAsia"/>
                      <w:color w:val="auto"/>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5"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color w:val="auto"/>
                      <w:szCs w:val="21"/>
                    </w:rPr>
                  </w:pPr>
                  <w:r>
                    <w:rPr>
                      <w:color w:val="auto"/>
                      <w:szCs w:val="21"/>
                    </w:rPr>
                    <w:t>排水</w:t>
                  </w:r>
                </w:p>
              </w:tc>
              <w:tc>
                <w:tcPr>
                  <w:tcW w:w="3339" w:type="pct"/>
                  <w:noWrap w:val="0"/>
                  <w:vAlign w:val="center"/>
                </w:tcPr>
                <w:p>
                  <w:pPr>
                    <w:adjustRightInd w:val="0"/>
                    <w:snapToGrid w:val="0"/>
                    <w:spacing w:line="240" w:lineRule="exact"/>
                    <w:jc w:val="center"/>
                    <w:rPr>
                      <w:color w:val="auto"/>
                      <w:szCs w:val="21"/>
                    </w:rPr>
                  </w:pPr>
                  <w:r>
                    <w:rPr>
                      <w:color w:val="auto"/>
                      <w:szCs w:val="21"/>
                    </w:rPr>
                    <w:t>医院采用雨污分流排水系统，废水经</w:t>
                  </w:r>
                  <w:r>
                    <w:rPr>
                      <w:rFonts w:hint="eastAsia"/>
                      <w:color w:val="auto"/>
                      <w:szCs w:val="21"/>
                    </w:rPr>
                    <w:t>污水处理站（预处理+</w:t>
                  </w:r>
                  <w:r>
                    <w:rPr>
                      <w:color w:val="auto"/>
                      <w:szCs w:val="21"/>
                    </w:rPr>
                    <w:t xml:space="preserve"> A/O</w:t>
                  </w:r>
                  <w:r>
                    <w:rPr>
                      <w:rFonts w:hint="eastAsia"/>
                      <w:color w:val="auto"/>
                      <w:szCs w:val="21"/>
                    </w:rPr>
                    <w:t>工艺+加</w:t>
                  </w:r>
                  <w:r>
                    <w:rPr>
                      <w:rFonts w:hint="eastAsia"/>
                      <w:color w:val="auto"/>
                      <w:szCs w:val="21"/>
                      <w:lang w:eastAsia="zh-CN"/>
                    </w:rPr>
                    <w:t>次氯酸钠</w:t>
                  </w:r>
                  <w:r>
                    <w:rPr>
                      <w:rFonts w:hint="eastAsia"/>
                      <w:color w:val="auto"/>
                      <w:szCs w:val="21"/>
                    </w:rPr>
                    <w:t>消毒）</w:t>
                  </w:r>
                  <w:r>
                    <w:rPr>
                      <w:color w:val="auto"/>
                      <w:szCs w:val="21"/>
                    </w:rPr>
                    <w:t>处理后，经市政污水管网排入</w:t>
                  </w:r>
                  <w:r>
                    <w:rPr>
                      <w:rFonts w:hint="eastAsia"/>
                      <w:color w:val="auto"/>
                      <w:szCs w:val="21"/>
                      <w:lang w:val="en-US" w:eastAsia="zh-CN"/>
                    </w:rPr>
                    <w:t>西安市第四</w:t>
                  </w:r>
                  <w:r>
                    <w:rPr>
                      <w:color w:val="auto"/>
                      <w:szCs w:val="21"/>
                    </w:rPr>
                    <w:t>污水处理厂</w:t>
                  </w:r>
                </w:p>
              </w:tc>
              <w:tc>
                <w:tcPr>
                  <w:tcW w:w="509" w:type="pct"/>
                  <w:noWrap w:val="0"/>
                  <w:vAlign w:val="center"/>
                </w:tcPr>
                <w:p>
                  <w:pPr>
                    <w:adjustRightInd w:val="0"/>
                    <w:snapToGrid w:val="0"/>
                    <w:spacing w:line="240" w:lineRule="exact"/>
                    <w:jc w:val="center"/>
                    <w:rPr>
                      <w:rFonts w:hint="eastAsia" w:eastAsia="宋体"/>
                      <w:color w:val="auto"/>
                      <w:szCs w:val="21"/>
                      <w:lang w:val="en-US" w:eastAsia="zh-CN"/>
                    </w:rPr>
                  </w:pPr>
                  <w:r>
                    <w:rPr>
                      <w:rFonts w:hint="eastAsia"/>
                      <w:color w:val="auto"/>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color w:val="auto"/>
                      <w:szCs w:val="21"/>
                    </w:rPr>
                  </w:pPr>
                  <w:r>
                    <w:rPr>
                      <w:rFonts w:hint="eastAsia"/>
                      <w:color w:val="auto"/>
                      <w:szCs w:val="21"/>
                      <w:lang w:val="en-US" w:eastAsia="zh-CN"/>
                    </w:rPr>
                    <w:t>制冷、</w:t>
                  </w:r>
                  <w:r>
                    <w:rPr>
                      <w:color w:val="auto"/>
                      <w:szCs w:val="21"/>
                    </w:rPr>
                    <w:t>供暖</w:t>
                  </w:r>
                </w:p>
              </w:tc>
              <w:tc>
                <w:tcPr>
                  <w:tcW w:w="3339" w:type="pct"/>
                  <w:noWrap w:val="0"/>
                  <w:vAlign w:val="center"/>
                </w:tcPr>
                <w:p>
                  <w:pPr>
                    <w:adjustRightInd w:val="0"/>
                    <w:snapToGrid w:val="0"/>
                    <w:spacing w:line="240" w:lineRule="exact"/>
                    <w:jc w:val="center"/>
                    <w:rPr>
                      <w:rFonts w:hint="default" w:eastAsia="宋体"/>
                      <w:color w:val="auto"/>
                      <w:szCs w:val="21"/>
                      <w:lang w:val="en-US" w:eastAsia="zh-CN"/>
                    </w:rPr>
                  </w:pPr>
                  <w:r>
                    <w:rPr>
                      <w:color w:val="auto"/>
                      <w:szCs w:val="21"/>
                    </w:rPr>
                    <w:t>采用</w:t>
                  </w:r>
                  <w:r>
                    <w:rPr>
                      <w:rFonts w:hint="eastAsia"/>
                      <w:color w:val="auto"/>
                      <w:szCs w:val="21"/>
                      <w:lang w:val="en-US" w:eastAsia="zh-CN"/>
                    </w:rPr>
                    <w:t>分体式空调提供制冷供暖</w:t>
                  </w:r>
                </w:p>
              </w:tc>
              <w:tc>
                <w:tcPr>
                  <w:tcW w:w="509" w:type="pct"/>
                  <w:noWrap w:val="0"/>
                  <w:vAlign w:val="center"/>
                </w:tcPr>
                <w:p>
                  <w:pPr>
                    <w:adjustRightInd w:val="0"/>
                    <w:snapToGrid w:val="0"/>
                    <w:spacing w:line="240" w:lineRule="exact"/>
                    <w:jc w:val="center"/>
                    <w:rPr>
                      <w:rFonts w:hint="eastAsia" w:eastAsia="宋体"/>
                      <w:color w:val="auto"/>
                      <w:szCs w:val="21"/>
                      <w:lang w:val="en-US" w:eastAsia="zh-CN"/>
                    </w:rPr>
                  </w:pPr>
                  <w:r>
                    <w:rPr>
                      <w:rFonts w:hint="eastAsia"/>
                      <w:color w:val="auto"/>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613" w:type="pct"/>
                  <w:vMerge w:val="restart"/>
                  <w:noWrap w:val="0"/>
                  <w:vAlign w:val="center"/>
                </w:tcPr>
                <w:p>
                  <w:pPr>
                    <w:adjustRightInd w:val="0"/>
                    <w:snapToGrid w:val="0"/>
                    <w:spacing w:line="240" w:lineRule="exact"/>
                    <w:jc w:val="center"/>
                    <w:rPr>
                      <w:color w:val="auto"/>
                      <w:szCs w:val="21"/>
                    </w:rPr>
                  </w:pPr>
                  <w:r>
                    <w:rPr>
                      <w:color w:val="auto"/>
                      <w:szCs w:val="21"/>
                    </w:rPr>
                    <w:t>环保工程</w:t>
                  </w:r>
                </w:p>
              </w:tc>
              <w:tc>
                <w:tcPr>
                  <w:tcW w:w="537" w:type="pct"/>
                  <w:noWrap w:val="0"/>
                  <w:vAlign w:val="center"/>
                </w:tcPr>
                <w:p>
                  <w:pPr>
                    <w:adjustRightInd w:val="0"/>
                    <w:snapToGrid w:val="0"/>
                    <w:spacing w:line="240" w:lineRule="exact"/>
                    <w:jc w:val="center"/>
                    <w:rPr>
                      <w:color w:val="auto"/>
                      <w:szCs w:val="21"/>
                    </w:rPr>
                  </w:pPr>
                  <w:r>
                    <w:rPr>
                      <w:color w:val="auto"/>
                      <w:szCs w:val="21"/>
                    </w:rPr>
                    <w:t>废气</w:t>
                  </w:r>
                </w:p>
              </w:tc>
              <w:tc>
                <w:tcPr>
                  <w:tcW w:w="3339" w:type="pct"/>
                  <w:noWrap w:val="0"/>
                  <w:vAlign w:val="center"/>
                </w:tcPr>
                <w:p>
                  <w:pPr>
                    <w:adjustRightInd w:val="0"/>
                    <w:snapToGrid w:val="0"/>
                    <w:spacing w:line="240" w:lineRule="exact"/>
                    <w:jc w:val="center"/>
                    <w:rPr>
                      <w:color w:val="auto"/>
                      <w:szCs w:val="21"/>
                    </w:rPr>
                  </w:pPr>
                  <w:r>
                    <w:rPr>
                      <w:color w:val="auto"/>
                      <w:szCs w:val="21"/>
                    </w:rPr>
                    <w:t>项目营运期产生废气为污水处理站臭气</w:t>
                  </w:r>
                  <w:r>
                    <w:rPr>
                      <w:rFonts w:hint="eastAsia"/>
                      <w:color w:val="auto"/>
                      <w:szCs w:val="21"/>
                    </w:rPr>
                    <w:t>、食堂油烟</w:t>
                  </w:r>
                  <w:r>
                    <w:rPr>
                      <w:color w:val="auto"/>
                      <w:szCs w:val="21"/>
                    </w:rPr>
                    <w:t>，</w:t>
                  </w:r>
                  <w:r>
                    <w:rPr>
                      <w:rFonts w:hint="eastAsia"/>
                      <w:color w:val="auto"/>
                      <w:szCs w:val="21"/>
                    </w:rPr>
                    <w:t>本项目对污水处理</w:t>
                  </w:r>
                  <w:r>
                    <w:rPr>
                      <w:rFonts w:hint="eastAsia"/>
                      <w:color w:val="auto"/>
                      <w:szCs w:val="21"/>
                      <w:lang w:val="en-US" w:eastAsia="zh-CN"/>
                    </w:rPr>
                    <w:t>设施</w:t>
                  </w:r>
                  <w:r>
                    <w:rPr>
                      <w:rFonts w:hint="eastAsia"/>
                      <w:color w:val="auto"/>
                      <w:szCs w:val="21"/>
                    </w:rPr>
                    <w:t>进行</w:t>
                  </w:r>
                  <w:r>
                    <w:rPr>
                      <w:rFonts w:hint="eastAsia"/>
                      <w:color w:val="auto"/>
                      <w:szCs w:val="21"/>
                      <w:lang w:val="en-US" w:eastAsia="zh-CN"/>
                    </w:rPr>
                    <w:t>地埋安置</w:t>
                  </w:r>
                  <w:r>
                    <w:rPr>
                      <w:rFonts w:hint="eastAsia"/>
                      <w:color w:val="auto"/>
                      <w:szCs w:val="21"/>
                    </w:rPr>
                    <w:t>，</w:t>
                  </w:r>
                  <w:r>
                    <w:rPr>
                      <w:rFonts w:hint="eastAsia"/>
                      <w:color w:val="auto"/>
                      <w:szCs w:val="21"/>
                      <w:lang w:val="en-US" w:eastAsia="zh-CN"/>
                    </w:rPr>
                    <w:t>污水处理站四周定期喷洒生物除臭剂；</w:t>
                  </w:r>
                  <w:r>
                    <w:rPr>
                      <w:rFonts w:hint="eastAsia"/>
                      <w:color w:val="auto"/>
                      <w:szCs w:val="21"/>
                    </w:rPr>
                    <w:t>食堂设置2个灶头，产生的油烟通过</w:t>
                  </w:r>
                  <w:r>
                    <w:rPr>
                      <w:rFonts w:hint="eastAsia"/>
                      <w:color w:val="auto"/>
                      <w:lang w:val="en-US" w:eastAsia="zh-CN"/>
                    </w:rPr>
                    <w:t>油烟通过烟道风机，引至楼顶经过油烟净化器处理后排放</w:t>
                  </w:r>
                  <w:r>
                    <w:rPr>
                      <w:rFonts w:hint="eastAsia"/>
                      <w:color w:val="auto"/>
                      <w:szCs w:val="21"/>
                    </w:rPr>
                    <w:t>。</w:t>
                  </w:r>
                </w:p>
              </w:tc>
              <w:tc>
                <w:tcPr>
                  <w:tcW w:w="509" w:type="pct"/>
                  <w:noWrap w:val="0"/>
                  <w:vAlign w:val="center"/>
                </w:tcPr>
                <w:p>
                  <w:pPr>
                    <w:adjustRightInd w:val="0"/>
                    <w:snapToGrid w:val="0"/>
                    <w:spacing w:line="240" w:lineRule="exact"/>
                    <w:jc w:val="center"/>
                    <w:rPr>
                      <w:color w:val="auto"/>
                      <w:szCs w:val="21"/>
                    </w:rPr>
                  </w:pPr>
                  <w:r>
                    <w:rPr>
                      <w:rFonts w:hint="eastAsia"/>
                      <w:color w:val="auto"/>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color w:val="auto"/>
                      <w:szCs w:val="21"/>
                    </w:rPr>
                  </w:pPr>
                  <w:r>
                    <w:rPr>
                      <w:color w:val="auto"/>
                      <w:szCs w:val="21"/>
                    </w:rPr>
                    <w:t>废水</w:t>
                  </w:r>
                </w:p>
              </w:tc>
              <w:tc>
                <w:tcPr>
                  <w:tcW w:w="3339" w:type="pct"/>
                  <w:noWrap w:val="0"/>
                  <w:vAlign w:val="center"/>
                </w:tcPr>
                <w:p>
                  <w:pPr>
                    <w:adjustRightInd w:val="0"/>
                    <w:snapToGrid w:val="0"/>
                    <w:spacing w:line="240" w:lineRule="exact"/>
                    <w:jc w:val="center"/>
                    <w:rPr>
                      <w:rFonts w:hint="eastAsia"/>
                      <w:color w:val="auto"/>
                      <w:szCs w:val="21"/>
                    </w:rPr>
                  </w:pPr>
                  <w:r>
                    <w:rPr>
                      <w:rFonts w:hint="eastAsia"/>
                      <w:color w:val="auto"/>
                      <w:szCs w:val="21"/>
                    </w:rPr>
                    <w:t>建设</w:t>
                  </w:r>
                  <w:r>
                    <w:rPr>
                      <w:rFonts w:hint="eastAsia"/>
                      <w:color w:val="auto"/>
                      <w:szCs w:val="21"/>
                      <w:lang w:val="en-US" w:eastAsia="zh-CN"/>
                    </w:rPr>
                    <w:t>油水分离器</w:t>
                  </w:r>
                  <w:r>
                    <w:rPr>
                      <w:rFonts w:hint="eastAsia"/>
                      <w:color w:val="auto"/>
                      <w:szCs w:val="21"/>
                    </w:rPr>
                    <w:t>，食堂废水经</w:t>
                  </w:r>
                  <w:r>
                    <w:rPr>
                      <w:rFonts w:hint="eastAsia"/>
                      <w:color w:val="auto"/>
                      <w:szCs w:val="21"/>
                      <w:lang w:val="en-US" w:eastAsia="zh-CN"/>
                    </w:rPr>
                    <w:t>油水分离器（1m</w:t>
                  </w:r>
                  <w:r>
                    <w:rPr>
                      <w:rFonts w:hint="eastAsia"/>
                      <w:color w:val="auto"/>
                      <w:szCs w:val="21"/>
                      <w:vertAlign w:val="superscript"/>
                      <w:lang w:val="en-US" w:eastAsia="zh-CN"/>
                    </w:rPr>
                    <w:t>3</w:t>
                  </w:r>
                  <w:r>
                    <w:rPr>
                      <w:rFonts w:hint="eastAsia"/>
                      <w:color w:val="auto"/>
                      <w:szCs w:val="21"/>
                      <w:lang w:val="en-US" w:eastAsia="zh-CN"/>
                    </w:rPr>
                    <w:t>）</w:t>
                  </w:r>
                  <w:r>
                    <w:rPr>
                      <w:rFonts w:hint="eastAsia"/>
                      <w:color w:val="auto"/>
                      <w:szCs w:val="21"/>
                    </w:rPr>
                    <w:t>处理后同</w:t>
                  </w:r>
                  <w:r>
                    <w:rPr>
                      <w:color w:val="auto"/>
                      <w:szCs w:val="21"/>
                    </w:rPr>
                    <w:t>医疗废水</w:t>
                  </w:r>
                  <w:r>
                    <w:rPr>
                      <w:rFonts w:hint="eastAsia"/>
                      <w:color w:val="auto"/>
                      <w:szCs w:val="21"/>
                      <w:lang w:eastAsia="zh-CN"/>
                    </w:rPr>
                    <w:t>、</w:t>
                  </w:r>
                  <w:r>
                    <w:rPr>
                      <w:rFonts w:hint="eastAsia"/>
                      <w:color w:val="auto"/>
                      <w:szCs w:val="21"/>
                      <w:lang w:val="en-US" w:eastAsia="zh-CN"/>
                    </w:rPr>
                    <w:t>检验废水、</w:t>
                  </w:r>
                  <w:r>
                    <w:rPr>
                      <w:rFonts w:hint="eastAsia"/>
                      <w:color w:val="auto"/>
                      <w:szCs w:val="21"/>
                    </w:rPr>
                    <w:t>生活污水一并经</w:t>
                  </w:r>
                  <w:r>
                    <w:rPr>
                      <w:color w:val="auto"/>
                      <w:szCs w:val="21"/>
                    </w:rPr>
                    <w:t>医院内已有化粪池</w:t>
                  </w:r>
                  <w:r>
                    <w:rPr>
                      <w:rFonts w:hint="eastAsia"/>
                      <w:color w:val="auto"/>
                      <w:szCs w:val="21"/>
                      <w:lang w:eastAsia="zh-CN"/>
                    </w:rPr>
                    <w:t>（</w:t>
                  </w:r>
                  <w:r>
                    <w:rPr>
                      <w:rFonts w:hint="eastAsia"/>
                      <w:color w:val="auto"/>
                      <w:szCs w:val="21"/>
                      <w:lang w:val="en-US" w:eastAsia="zh-CN"/>
                    </w:rPr>
                    <w:t>20m</w:t>
                  </w:r>
                  <w:r>
                    <w:rPr>
                      <w:rFonts w:hint="eastAsia"/>
                      <w:color w:val="auto"/>
                      <w:szCs w:val="21"/>
                      <w:vertAlign w:val="superscript"/>
                      <w:lang w:val="en-US" w:eastAsia="zh-CN"/>
                    </w:rPr>
                    <w:t>3</w:t>
                  </w:r>
                  <w:r>
                    <w:rPr>
                      <w:rFonts w:hint="eastAsia"/>
                      <w:color w:val="auto"/>
                      <w:szCs w:val="21"/>
                      <w:lang w:eastAsia="zh-CN"/>
                    </w:rPr>
                    <w:t>）</w:t>
                  </w:r>
                  <w:r>
                    <w:rPr>
                      <w:rFonts w:hint="eastAsia"/>
                      <w:color w:val="auto"/>
                      <w:szCs w:val="21"/>
                      <w:lang w:val="en-US" w:eastAsia="zh-CN"/>
                    </w:rPr>
                    <w:t>预</w:t>
                  </w:r>
                  <w:r>
                    <w:rPr>
                      <w:color w:val="auto"/>
                      <w:szCs w:val="21"/>
                    </w:rPr>
                    <w:t>处理</w:t>
                  </w:r>
                  <w:r>
                    <w:rPr>
                      <w:rFonts w:hint="eastAsia"/>
                      <w:color w:val="auto"/>
                      <w:szCs w:val="21"/>
                      <w:lang w:eastAsia="zh-CN"/>
                    </w:rPr>
                    <w:t>，</w:t>
                  </w:r>
                  <w:r>
                    <w:rPr>
                      <w:rFonts w:hint="eastAsia"/>
                      <w:color w:val="auto"/>
                      <w:szCs w:val="21"/>
                      <w:lang w:val="en-US" w:eastAsia="zh-CN"/>
                    </w:rPr>
                    <w:t>之后导排进入</w:t>
                  </w:r>
                  <w:r>
                    <w:rPr>
                      <w:color w:val="auto"/>
                      <w:szCs w:val="21"/>
                    </w:rPr>
                    <w:t>污水处理站处理达到</w:t>
                  </w:r>
                  <w:r>
                    <w:rPr>
                      <w:rFonts w:hint="eastAsia"/>
                      <w:color w:val="auto"/>
                      <w:szCs w:val="21"/>
                      <w:lang w:val="en-US" w:eastAsia="zh-CN"/>
                    </w:rPr>
                    <w:t>相应排放标准</w:t>
                  </w:r>
                  <w:r>
                    <w:rPr>
                      <w:color w:val="auto"/>
                      <w:szCs w:val="21"/>
                    </w:rPr>
                    <w:t>后通过市政污水管网进入</w:t>
                  </w:r>
                  <w:r>
                    <w:rPr>
                      <w:rFonts w:hint="eastAsia"/>
                      <w:color w:val="auto"/>
                      <w:szCs w:val="21"/>
                      <w:lang w:val="en-US" w:eastAsia="zh-CN"/>
                    </w:rPr>
                    <w:t>西安市第四</w:t>
                  </w:r>
                  <w:r>
                    <w:rPr>
                      <w:color w:val="auto"/>
                      <w:szCs w:val="21"/>
                    </w:rPr>
                    <w:t>污水处理厂</w:t>
                  </w:r>
                </w:p>
              </w:tc>
              <w:tc>
                <w:tcPr>
                  <w:tcW w:w="509" w:type="pct"/>
                  <w:noWrap w:val="0"/>
                  <w:vAlign w:val="center"/>
                </w:tcPr>
                <w:p>
                  <w:pPr>
                    <w:adjustRightInd w:val="0"/>
                    <w:snapToGrid w:val="0"/>
                    <w:spacing w:line="240" w:lineRule="exact"/>
                    <w:jc w:val="center"/>
                    <w:rPr>
                      <w:rFonts w:hint="eastAsia"/>
                      <w:color w:val="auto"/>
                      <w:szCs w:val="21"/>
                    </w:rPr>
                  </w:pPr>
                  <w:r>
                    <w:rPr>
                      <w:rFonts w:hint="eastAsia"/>
                      <w:color w:val="auto"/>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color w:val="auto"/>
                      <w:szCs w:val="21"/>
                    </w:rPr>
                  </w:pPr>
                  <w:r>
                    <w:rPr>
                      <w:color w:val="auto"/>
                      <w:szCs w:val="21"/>
                    </w:rPr>
                    <w:t>噪声</w:t>
                  </w:r>
                </w:p>
              </w:tc>
              <w:tc>
                <w:tcPr>
                  <w:tcW w:w="3339" w:type="pct"/>
                  <w:noWrap w:val="0"/>
                  <w:vAlign w:val="center"/>
                </w:tcPr>
                <w:p>
                  <w:pPr>
                    <w:adjustRightInd w:val="0"/>
                    <w:snapToGrid w:val="0"/>
                    <w:spacing w:line="240" w:lineRule="exact"/>
                    <w:jc w:val="center"/>
                    <w:rPr>
                      <w:rFonts w:hint="default" w:eastAsia="宋体"/>
                      <w:color w:val="auto"/>
                      <w:szCs w:val="21"/>
                      <w:lang w:val="en-US" w:eastAsia="zh-CN"/>
                    </w:rPr>
                  </w:pPr>
                  <w:r>
                    <w:rPr>
                      <w:rFonts w:hint="eastAsia"/>
                      <w:color w:val="auto"/>
                      <w:szCs w:val="21"/>
                      <w:lang w:val="en-US" w:eastAsia="zh-CN"/>
                    </w:rPr>
                    <w:t>采用隔声、基础减振方式措施噪声</w:t>
                  </w:r>
                </w:p>
              </w:tc>
              <w:tc>
                <w:tcPr>
                  <w:tcW w:w="509" w:type="pct"/>
                  <w:noWrap w:val="0"/>
                  <w:vAlign w:val="center"/>
                </w:tcPr>
                <w:p>
                  <w:pPr>
                    <w:adjustRightInd w:val="0"/>
                    <w:snapToGrid w:val="0"/>
                    <w:spacing w:line="240" w:lineRule="exact"/>
                    <w:jc w:val="center"/>
                    <w:rPr>
                      <w:rFonts w:hint="eastAsia" w:eastAsia="宋体"/>
                      <w:color w:val="auto"/>
                      <w:szCs w:val="21"/>
                      <w:lang w:eastAsia="zh-CN"/>
                    </w:rPr>
                  </w:pPr>
                  <w:r>
                    <w:rPr>
                      <w:rFonts w:hint="eastAsia"/>
                      <w:color w:val="auto"/>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613" w:type="pct"/>
                  <w:vMerge w:val="continue"/>
                  <w:noWrap w:val="0"/>
                  <w:vAlign w:val="center"/>
                </w:tcPr>
                <w:p>
                  <w:pPr>
                    <w:adjustRightInd w:val="0"/>
                    <w:snapToGrid w:val="0"/>
                    <w:spacing w:line="240" w:lineRule="exact"/>
                    <w:jc w:val="center"/>
                    <w:rPr>
                      <w:color w:val="auto"/>
                      <w:szCs w:val="21"/>
                    </w:rPr>
                  </w:pPr>
                </w:p>
              </w:tc>
              <w:tc>
                <w:tcPr>
                  <w:tcW w:w="537" w:type="pct"/>
                  <w:noWrap w:val="0"/>
                  <w:vAlign w:val="center"/>
                </w:tcPr>
                <w:p>
                  <w:pPr>
                    <w:adjustRightInd w:val="0"/>
                    <w:snapToGrid w:val="0"/>
                    <w:spacing w:line="240" w:lineRule="exact"/>
                    <w:jc w:val="center"/>
                    <w:rPr>
                      <w:color w:val="auto"/>
                      <w:szCs w:val="21"/>
                    </w:rPr>
                  </w:pPr>
                  <w:r>
                    <w:rPr>
                      <w:color w:val="auto"/>
                      <w:szCs w:val="21"/>
                    </w:rPr>
                    <w:t>固废</w:t>
                  </w:r>
                </w:p>
              </w:tc>
              <w:tc>
                <w:tcPr>
                  <w:tcW w:w="3339" w:type="pct"/>
                  <w:noWrap w:val="0"/>
                  <w:vAlign w:val="center"/>
                </w:tcPr>
                <w:p>
                  <w:pPr>
                    <w:adjustRightInd w:val="0"/>
                    <w:snapToGrid w:val="0"/>
                    <w:spacing w:line="240" w:lineRule="exact"/>
                    <w:jc w:val="center"/>
                    <w:rPr>
                      <w:rFonts w:hint="default" w:eastAsia="宋体"/>
                      <w:color w:val="auto"/>
                      <w:szCs w:val="21"/>
                      <w:lang w:val="en-US" w:eastAsia="zh-CN"/>
                    </w:rPr>
                  </w:pPr>
                  <w:r>
                    <w:rPr>
                      <w:color w:val="auto"/>
                      <w:szCs w:val="21"/>
                    </w:rPr>
                    <w:t>医疗废物分类收集</w:t>
                  </w:r>
                  <w:r>
                    <w:rPr>
                      <w:rFonts w:hint="eastAsia"/>
                      <w:color w:val="auto"/>
                      <w:szCs w:val="21"/>
                    </w:rPr>
                    <w:t>至医疗废物暂存间</w:t>
                  </w:r>
                  <w:r>
                    <w:rPr>
                      <w:rFonts w:hint="eastAsia"/>
                      <w:color w:val="auto"/>
                      <w:szCs w:val="21"/>
                      <w:lang w:eastAsia="zh-CN"/>
                    </w:rPr>
                    <w:t>（医院大楼外一层西北侧楼梯间）</w:t>
                  </w:r>
                  <w:r>
                    <w:rPr>
                      <w:color w:val="auto"/>
                      <w:szCs w:val="21"/>
                    </w:rPr>
                    <w:t>后交</w:t>
                  </w:r>
                  <w:r>
                    <w:rPr>
                      <w:rFonts w:hint="eastAsia"/>
                      <w:color w:val="auto"/>
                      <w:szCs w:val="21"/>
                      <w:lang w:val="en-US" w:eastAsia="zh-CN"/>
                    </w:rPr>
                    <w:t>有资质单位处置</w:t>
                  </w:r>
                  <w:r>
                    <w:rPr>
                      <w:rFonts w:hint="eastAsia"/>
                      <w:color w:val="auto"/>
                      <w:szCs w:val="21"/>
                    </w:rPr>
                    <w:t>；</w:t>
                  </w:r>
                  <w:r>
                    <w:rPr>
                      <w:rFonts w:hint="eastAsia"/>
                      <w:color w:val="auto"/>
                      <w:szCs w:val="21"/>
                      <w:lang w:val="en-US" w:eastAsia="zh-CN"/>
                    </w:rPr>
                    <w:t>污水</w:t>
                  </w:r>
                  <w:r>
                    <w:rPr>
                      <w:color w:val="auto"/>
                      <w:szCs w:val="21"/>
                    </w:rPr>
                    <w:t>处理站污泥</w:t>
                  </w:r>
                  <w:r>
                    <w:rPr>
                      <w:rFonts w:hint="eastAsia"/>
                      <w:color w:val="auto"/>
                      <w:szCs w:val="21"/>
                      <w:lang w:val="en-US" w:eastAsia="zh-CN"/>
                    </w:rPr>
                    <w:t>消毒后</w:t>
                  </w:r>
                  <w:r>
                    <w:rPr>
                      <w:color w:val="auto"/>
                      <w:szCs w:val="21"/>
                    </w:rPr>
                    <w:t>定期由交</w:t>
                  </w:r>
                  <w:r>
                    <w:rPr>
                      <w:rFonts w:hint="eastAsia"/>
                      <w:color w:val="auto"/>
                      <w:szCs w:val="21"/>
                      <w:lang w:val="en-US" w:eastAsia="zh-CN"/>
                    </w:rPr>
                    <w:t>有资质单位</w:t>
                  </w:r>
                  <w:r>
                    <w:rPr>
                      <w:color w:val="auto"/>
                      <w:szCs w:val="21"/>
                    </w:rPr>
                    <w:t>清掏</w:t>
                  </w:r>
                  <w:r>
                    <w:rPr>
                      <w:rFonts w:hint="eastAsia"/>
                      <w:color w:val="auto"/>
                      <w:szCs w:val="21"/>
                    </w:rPr>
                    <w:t>处置</w:t>
                  </w:r>
                  <w:r>
                    <w:rPr>
                      <w:color w:val="auto"/>
                      <w:szCs w:val="21"/>
                    </w:rPr>
                    <w:t>；生活垃圾</w:t>
                  </w:r>
                  <w:r>
                    <w:rPr>
                      <w:rFonts w:hint="eastAsia"/>
                      <w:color w:val="auto"/>
                      <w:szCs w:val="21"/>
                    </w:rPr>
                    <w:t>、</w:t>
                  </w:r>
                  <w:r>
                    <w:rPr>
                      <w:rFonts w:hint="eastAsia"/>
                      <w:color w:val="auto"/>
                      <w:szCs w:val="21"/>
                      <w:lang w:eastAsia="zh-CN"/>
                    </w:rPr>
                    <w:t>餐厨垃圾</w:t>
                  </w:r>
                  <w:r>
                    <w:rPr>
                      <w:color w:val="auto"/>
                      <w:szCs w:val="21"/>
                    </w:rPr>
                    <w:t>分类收集，</w:t>
                  </w:r>
                  <w:r>
                    <w:rPr>
                      <w:rFonts w:hint="eastAsia"/>
                      <w:color w:val="auto"/>
                      <w:szCs w:val="21"/>
                      <w:lang w:val="en-US" w:eastAsia="zh-CN"/>
                    </w:rPr>
                    <w:t>生活垃圾</w:t>
                  </w:r>
                  <w:r>
                    <w:rPr>
                      <w:color w:val="auto"/>
                      <w:szCs w:val="21"/>
                    </w:rPr>
                    <w:t>由环卫部门集中收集处理</w:t>
                  </w:r>
                  <w:r>
                    <w:rPr>
                      <w:rFonts w:hint="eastAsia"/>
                      <w:color w:val="auto"/>
                      <w:szCs w:val="21"/>
                      <w:lang w:eastAsia="zh-CN"/>
                    </w:rPr>
                    <w:t>，</w:t>
                  </w:r>
                  <w:r>
                    <w:rPr>
                      <w:rFonts w:hint="eastAsia"/>
                      <w:color w:val="auto"/>
                      <w:szCs w:val="21"/>
                      <w:lang w:val="en-US" w:eastAsia="zh-CN"/>
                    </w:rPr>
                    <w:t>餐厨垃圾交由有资质单位收集处置</w:t>
                  </w:r>
                  <w:r>
                    <w:rPr>
                      <w:rFonts w:hint="eastAsia"/>
                      <w:color w:val="auto"/>
                      <w:szCs w:val="21"/>
                      <w:lang w:eastAsia="zh-CN"/>
                    </w:rPr>
                    <w:t>；</w:t>
                  </w:r>
                  <w:r>
                    <w:rPr>
                      <w:rFonts w:hint="eastAsia"/>
                      <w:color w:val="FF0000"/>
                      <w:szCs w:val="21"/>
                      <w:lang w:val="en-US" w:eastAsia="zh-CN"/>
                    </w:rPr>
                    <w:t>隔油池废油脂交</w:t>
                  </w:r>
                  <w:r>
                    <w:rPr>
                      <w:rFonts w:hint="eastAsia"/>
                      <w:color w:val="auto"/>
                      <w:szCs w:val="21"/>
                      <w:lang w:val="en-US" w:eastAsia="zh-CN"/>
                    </w:rPr>
                    <w:t>由有资质的餐厨垃圾处置单位处置；</w:t>
                  </w:r>
                  <w:r>
                    <w:rPr>
                      <w:rFonts w:hint="eastAsia"/>
                      <w:color w:val="FF0000"/>
                      <w:szCs w:val="21"/>
                      <w:lang w:val="en-US" w:eastAsia="zh-CN"/>
                    </w:rPr>
                    <w:t>油烟净化器定期由专业机构进行清理，产生的废油脂及清洗废液交由</w:t>
                  </w:r>
                  <w:r>
                    <w:rPr>
                      <w:rFonts w:hint="eastAsia"/>
                      <w:color w:val="auto"/>
                      <w:szCs w:val="21"/>
                      <w:lang w:val="en-US" w:eastAsia="zh-CN"/>
                    </w:rPr>
                    <w:t>有资质的餐厨垃圾处置单位</w:t>
                  </w:r>
                  <w:r>
                    <w:rPr>
                      <w:rFonts w:hint="eastAsia"/>
                      <w:color w:val="FF0000"/>
                      <w:szCs w:val="21"/>
                      <w:lang w:val="en-US" w:eastAsia="zh-CN"/>
                    </w:rPr>
                    <w:t>处置；</w:t>
                  </w:r>
                  <w:r>
                    <w:rPr>
                      <w:rFonts w:hint="eastAsia"/>
                      <w:color w:val="auto"/>
                      <w:szCs w:val="21"/>
                      <w:lang w:val="en-US" w:eastAsia="zh-CN"/>
                    </w:rPr>
                    <w:t>项目医患被服委托专业单位清洗消毒。</w:t>
                  </w:r>
                </w:p>
              </w:tc>
              <w:tc>
                <w:tcPr>
                  <w:tcW w:w="509" w:type="pct"/>
                  <w:noWrap w:val="0"/>
                  <w:vAlign w:val="center"/>
                </w:tcPr>
                <w:p>
                  <w:pPr>
                    <w:adjustRightInd w:val="0"/>
                    <w:snapToGrid w:val="0"/>
                    <w:spacing w:line="240" w:lineRule="exact"/>
                    <w:jc w:val="center"/>
                    <w:rPr>
                      <w:rFonts w:hint="eastAsia" w:eastAsia="宋体"/>
                      <w:color w:val="auto"/>
                      <w:szCs w:val="21"/>
                      <w:lang w:eastAsia="zh-CN"/>
                    </w:rPr>
                  </w:pPr>
                  <w:r>
                    <w:rPr>
                      <w:rFonts w:hint="eastAsia"/>
                      <w:color w:val="auto"/>
                      <w:szCs w:val="21"/>
                      <w:lang w:val="en-US" w:eastAsia="zh-CN"/>
                    </w:rPr>
                    <w:t>新建</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Times New Roman" w:hAnsi="Times New Roman" w:eastAsia="宋体" w:cs="Times New Roman"/>
                <w:b/>
                <w:bCs/>
                <w:color w:val="auto"/>
                <w:sz w:val="24"/>
                <w:szCs w:val="24"/>
                <w:highlight w:val="none"/>
                <w:lang w:val="en-US" w:eastAsia="zh-CN"/>
              </w:rPr>
            </w:pPr>
            <w:r>
              <w:rPr>
                <w:rFonts w:hint="eastAsia"/>
                <w:b/>
                <w:bCs/>
                <w:color w:val="auto"/>
                <w:lang w:val="en-US" w:eastAsia="zh-CN"/>
              </w:rPr>
              <w:t>备注：表内“新建*”不含已租赁7层楼体主体及楼体配套工程的建设，项目不设置洗衣房、煎药房、锅炉房、太平间等设施。</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4</w:t>
            </w:r>
            <w:r>
              <w:rPr>
                <w:rFonts w:hint="default" w:ascii="Times New Roman" w:hAnsi="Times New Roman" w:eastAsia="宋体" w:cs="Times New Roman"/>
                <w:b/>
                <w:bCs/>
                <w:color w:val="auto"/>
                <w:sz w:val="24"/>
                <w:szCs w:val="24"/>
                <w:highlight w:val="none"/>
                <w:lang w:val="en-US" w:eastAsia="zh-CN"/>
              </w:rPr>
              <w:t>、主要生产设备设施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本项目主要设备清单详见表</w:t>
            </w:r>
            <w:r>
              <w:rPr>
                <w:rFonts w:hint="default" w:ascii="Times New Roman" w:hAnsi="Times New Roman" w:eastAsia="宋体" w:cs="Times New Roman"/>
                <w:color w:val="auto"/>
                <w:sz w:val="24"/>
                <w:szCs w:val="24"/>
                <w:highlight w:val="none"/>
                <w:lang w:val="en-US" w:eastAsia="zh-CN"/>
              </w:rPr>
              <w:t>2-</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p>
          <w:p>
            <w:pPr>
              <w:pStyle w:val="56"/>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w:t>
            </w:r>
            <w:r>
              <w:rPr>
                <w:rFonts w:hint="default" w:ascii="Times New Roman" w:hAnsi="Times New Roman" w:eastAsia="宋体" w:cs="Times New Roman"/>
                <w:color w:val="auto"/>
                <w:sz w:val="21"/>
                <w:szCs w:val="21"/>
                <w:highlight w:val="none"/>
                <w:lang w:val="en-US" w:eastAsia="zh-CN"/>
              </w:rPr>
              <w:t>2-</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 xml:space="preserve"> 设备名称一览表</w:t>
            </w:r>
          </w:p>
          <w:tbl>
            <w:tblPr>
              <w:tblStyle w:val="27"/>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5"/>
              <w:gridCol w:w="2638"/>
              <w:gridCol w:w="2541"/>
              <w:gridCol w:w="1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设备类型</w:t>
                  </w: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设备名称</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规格型号</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数量（台/套）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38" w:type="pct"/>
                  <w:vMerge w:val="restar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检验设备</w:t>
                  </w: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血细胞五分类</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URIT----5261</w:t>
                  </w:r>
                </w:p>
              </w:tc>
              <w:tc>
                <w:tcPr>
                  <w:tcW w:w="976" w:type="pc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尿常规机 </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URIT----500</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血流变</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众驰ZL6000</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电解质</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IMS----972</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生化仪</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URIT----8400</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糖化血红蛋白</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博唐平（BioHermes）</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超敏C</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亚辉龙（unlcell-s）</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restar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脑功能科室设备</w:t>
                  </w: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重复经颅磁治疗</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Magneur030</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直流电</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TES-02</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电子生物反馈</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启天M4600--N000</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眼动检测</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DEM---2000B</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神经递质监测（脑功能检查）</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SP03</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restar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理疗设备</w:t>
                  </w: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经颅磁刺激仪</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Magneur030</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电子生物反馈</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生物反馈仪IG10</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脑电仿生电磁刺激仪</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MS-6120D</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经颅电脑功能康复治疗仪</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TES--02</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多导睡眠监测仪</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SOMNOscreenTMplus  PSG+</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restar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B超室设备</w:t>
                  </w: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B超机</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VINNCX5</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心电图机</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 EGG-3312</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脑电图机</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UEA-16B</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超声骨密度仪</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BMD-9V</w:t>
                  </w:r>
                </w:p>
              </w:tc>
              <w:tc>
                <w:tcPr>
                  <w:tcW w:w="976" w:type="pct"/>
                  <w:noWrap w:val="0"/>
                  <w:vAlign w:val="center"/>
                </w:tcPr>
                <w:p>
                  <w:pPr>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571"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动态心电图</w:t>
                  </w:r>
                </w:p>
              </w:tc>
              <w:tc>
                <w:tcPr>
                  <w:tcW w:w="1513"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MIC-12H-3S</w:t>
                  </w:r>
                </w:p>
              </w:tc>
              <w:tc>
                <w:tcPr>
                  <w:tcW w:w="976" w:type="pct"/>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restar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污水处理站设备</w:t>
                  </w:r>
                </w:p>
              </w:tc>
              <w:tc>
                <w:tcPr>
                  <w:tcW w:w="1571" w:type="pc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投药泵</w:t>
                  </w:r>
                </w:p>
              </w:tc>
              <w:tc>
                <w:tcPr>
                  <w:tcW w:w="1513" w:type="pc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976"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cs="Times New Roman"/>
                      <w:color w:val="auto"/>
                      <w:szCs w:val="21"/>
                      <w:lang w:val="en-US" w:eastAsia="zh-CN"/>
                    </w:rPr>
                  </w:pPr>
                </w:p>
              </w:tc>
              <w:tc>
                <w:tcPr>
                  <w:tcW w:w="1571"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曝气泵</w:t>
                  </w:r>
                </w:p>
              </w:tc>
              <w:tc>
                <w:tcPr>
                  <w:tcW w:w="1513"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w:t>
                  </w:r>
                </w:p>
              </w:tc>
              <w:tc>
                <w:tcPr>
                  <w:tcW w:w="976"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vMerge w:val="continue"/>
                  <w:noWrap w:val="0"/>
                  <w:vAlign w:val="center"/>
                </w:tcPr>
                <w:p>
                  <w:pPr>
                    <w:ind w:left="-50" w:right="-50"/>
                    <w:jc w:val="center"/>
                    <w:rPr>
                      <w:rFonts w:hint="eastAsia" w:cs="Times New Roman"/>
                      <w:color w:val="auto"/>
                      <w:szCs w:val="21"/>
                      <w:lang w:val="en-US" w:eastAsia="zh-CN"/>
                    </w:rPr>
                  </w:pPr>
                </w:p>
              </w:tc>
              <w:tc>
                <w:tcPr>
                  <w:tcW w:w="1571" w:type="pc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提升泵</w:t>
                  </w:r>
                </w:p>
              </w:tc>
              <w:tc>
                <w:tcPr>
                  <w:tcW w:w="1513" w:type="pct"/>
                  <w:noWrap w:val="0"/>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976"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8"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应急供电设备</w:t>
                  </w:r>
                </w:p>
              </w:tc>
              <w:tc>
                <w:tcPr>
                  <w:tcW w:w="1571"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柴油发电机</w:t>
                  </w:r>
                </w:p>
              </w:tc>
              <w:tc>
                <w:tcPr>
                  <w:tcW w:w="1513"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w:t>
                  </w:r>
                </w:p>
              </w:tc>
              <w:tc>
                <w:tcPr>
                  <w:tcW w:w="976" w:type="pct"/>
                  <w:noWrap w:val="0"/>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1台</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4、原辅材料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项目原辅材料消耗情况详见表2-</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w:t>
            </w:r>
          </w:p>
          <w:p>
            <w:pPr>
              <w:pStyle w:val="56"/>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表2-</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 xml:space="preserve">  主要原辅材料</w:t>
            </w:r>
            <w:r>
              <w:rPr>
                <w:rFonts w:hint="eastAsia" w:cs="Times New Roman"/>
                <w:color w:val="auto"/>
                <w:sz w:val="21"/>
                <w:szCs w:val="21"/>
                <w:highlight w:val="none"/>
                <w:lang w:val="en-US" w:eastAsia="zh-CN"/>
              </w:rPr>
              <w:t>消耗</w:t>
            </w:r>
            <w:r>
              <w:rPr>
                <w:rFonts w:hint="default" w:ascii="Times New Roman" w:hAnsi="Times New Roman" w:eastAsia="宋体" w:cs="Times New Roman"/>
                <w:color w:val="auto"/>
                <w:sz w:val="21"/>
                <w:szCs w:val="21"/>
                <w:highlight w:val="none"/>
              </w:rPr>
              <w:t>一览表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2613"/>
              <w:gridCol w:w="2885"/>
              <w:gridCol w:w="1492"/>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序号</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名称</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规格</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总年用量</w:t>
                  </w: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一次性使用心电电极</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100-C 圆形 </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外科纱布敷料</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50mm*70mm*8层/5块/袋*60袋</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一次性使用无菌注射器带针</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5ml/0.6*25TWLB/支</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一次性使用无菌导尿管</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16Fr（30ml)</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一次性使用无菌导尿管</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16Fr（30ml)</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检查手套（PE）</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50只/包</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有粉光面（S）</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有粉光面（M）</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一次性使用医用帽</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圆形帽</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一次性使用无菌注射器带针</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1ml*0.45*13</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医用面罩</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可充气式 5#</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穴位压力刺激贴</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安神型2cm*2cm*24贴</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透气胶贴I型</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70mm*35mm/片</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血压计（台式）</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1/台</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17</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一次性灌肠包</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18</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医用棉签（灭菌棉签）</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10cm*50支/袋*20袋/包</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血压计（台式）</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1/台</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听诊器（插入式单用A型)</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1付/盒</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0.7#/支</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有粉光面（S）</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有粉光面（M）</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24</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一次性使用手术单</w:t>
                  </w:r>
                </w:p>
              </w:tc>
              <w:tc>
                <w:tcPr>
                  <w:tcW w:w="2913"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100cm*200cm/条</w:t>
                  </w:r>
                </w:p>
              </w:tc>
              <w:tc>
                <w:tcPr>
                  <w:tcW w:w="1627"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6" w:type="dxa"/>
                  <w:tcBorders>
                    <w:top w:val="single" w:color="auto" w:sz="4" w:space="0"/>
                    <w:left w:val="single" w:color="auto" w:sz="4" w:space="0"/>
                    <w:bottom w:val="single" w:color="auto" w:sz="4" w:space="0"/>
                    <w:right w:val="single" w:color="auto" w:sz="4" w:space="0"/>
                  </w:tcBorders>
                  <w:noWrap w:val="0"/>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26</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穴位压力刺激贴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安神型2cm*2cm*24贴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小药袋</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700只/包</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28</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小药袋</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700只/包</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29</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一次性使用心电电极</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100-C 圆形 </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一次性使用无菌配药用注射器</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20ml/1.6/支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有粉光面（M）</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血压计（台式）</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1/台</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血压计袖带</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34</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血压计（台式）</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1/台</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36</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臂式电子血压计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YE655D</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37</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一次性使用吸氧管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DRY-YC</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38</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血压计（台式）</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1/台</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纱布绷带</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8cm*600cm*10卷/包</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外科纱布敷料</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50mm*70mm*8层/5块/袋*60袋</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艾灸盒</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单孔</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43</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穴位压力刺激贴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安神型2cm*2cm*24贴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穴位贴敷治疗贴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10袋/盒</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46</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检查手套（PE）</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50只/包</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47</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透气胶贴I型</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70mm*35mm/片</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有粉光面（M）</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49</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一次性使用手术单</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100cm*200cm/条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一次性使用捆扎止血带</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5*7mm*1米</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穴位压力刺激贴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安神型2cm*2cm*24贴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0.55#*1支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53</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医用红外额温计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JKY-VEEW-801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医用输液瓶口贴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1.5cm*400片/盒</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56</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一次性使用心电电极</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100-C 圆形 </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57</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一次性使用吸氧管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DRY-YC</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58</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脱脂棉球</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500g/袋</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59</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穴位压力刺激贴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安神型2cm*2cm*24贴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臂式电子血压计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YE655D</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有粉光面（S）</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有粉光面（M）</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63</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一次性使用无菌配药用注射器</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20ml/1.6/支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0.55#*1支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66</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臂式电子血压计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YE655D</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67</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外科纱布敷料</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50mm*70mm*8层/5块/袋*60袋</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68</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69</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一次性使用无菌注射器带针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5ml/0.6*25TWLB/支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有粉光面（S）</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一次性使用医用橡胶检查手套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有粉光面（M）</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一次性使用胃管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DRW-B 16F</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73</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74</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0.55#*1支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臂式电子血压计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YE655D</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76</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透气胶贴I型</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70mm*35mm/片</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77</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穴位压力刺激贴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安神型2cm*2cm*24贴</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78</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一次性使用无菌注射器带针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1ml*0.45*13</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79</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一次性使用无菌配药用注射器</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20ml/1.6/支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检查手套（PE）</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100只/包</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一次性使用静脉输液针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0.55#*1支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82</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一次性使用心电电极</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100-C 圆形 </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83</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一次性使用输液器带针</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0.7*25RWLB/套</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84</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玻璃体温计</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85</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一次性使用无菌配药用注射器</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20ml/1.6/支</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600</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86</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四环牌G-1型消毒剂浓度试纸</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20本/盒</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0" w:type="auto"/>
                  <w:vAlign w:val="center"/>
                </w:tcPr>
                <w:p>
                  <w:pPr>
                    <w:ind w:left="-50" w:right="-5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87</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医用酒精</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2500ml/桶</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88</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PAM</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0.04</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89</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PAC</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0.2</w:t>
                  </w:r>
                </w:p>
              </w:tc>
              <w:tc>
                <w:tcPr>
                  <w:tcW w:w="0" w:type="auto"/>
                  <w:vAlign w:val="center"/>
                </w:tcPr>
                <w:p>
                  <w:pPr>
                    <w:ind w:left="-50" w:right="-5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90</w:t>
                  </w:r>
                </w:p>
              </w:tc>
              <w:tc>
                <w:tcPr>
                  <w:tcW w:w="0" w:type="auto"/>
                  <w:vAlign w:val="center"/>
                </w:tcPr>
                <w:p>
                  <w:pPr>
                    <w:ind w:left="-50" w:right="-5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次氯酸钠</w:t>
                  </w:r>
                </w:p>
              </w:tc>
              <w:tc>
                <w:tcPr>
                  <w:tcW w:w="0" w:type="auto"/>
                  <w:vAlign w:val="center"/>
                </w:tcPr>
                <w:p>
                  <w:pPr>
                    <w:ind w:left="-50" w:right="-5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w:t>
                  </w:r>
                </w:p>
              </w:tc>
              <w:tc>
                <w:tcPr>
                  <w:tcW w:w="0" w:type="auto"/>
                  <w:vAlign w:val="center"/>
                </w:tcPr>
                <w:p>
                  <w:pPr>
                    <w:ind w:left="-50" w:right="-5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0.21</w:t>
                  </w:r>
                </w:p>
              </w:tc>
              <w:tc>
                <w:tcPr>
                  <w:tcW w:w="0" w:type="auto"/>
                  <w:vAlign w:val="center"/>
                </w:tcPr>
                <w:p>
                  <w:pPr>
                    <w:ind w:left="-50" w:right="-5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91</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生物除臭剂</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25kg/桶</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2</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92</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柴油</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0.05</w:t>
                  </w:r>
                </w:p>
              </w:tc>
              <w:tc>
                <w:tcPr>
                  <w:tcW w:w="0" w:type="auto"/>
                  <w:vAlign w:val="center"/>
                </w:tcPr>
                <w:p>
                  <w:pPr>
                    <w:ind w:left="-50" w:right="-50"/>
                    <w:jc w:val="center"/>
                    <w:rPr>
                      <w:rFonts w:hint="default" w:cs="Times New Roman"/>
                      <w:color w:val="auto"/>
                      <w:szCs w:val="21"/>
                      <w:lang w:val="en-US" w:eastAsia="zh-CN"/>
                    </w:rPr>
                  </w:pPr>
                  <w:r>
                    <w:rPr>
                      <w:rFonts w:hint="eastAsia" w:cs="Times New Roman"/>
                      <w:color w:val="auto"/>
                      <w:szCs w:val="21"/>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vAlign w:val="center"/>
                </w:tcPr>
                <w:p>
                  <w:pPr>
                    <w:ind w:left="-50" w:right="-50"/>
                    <w:jc w:val="center"/>
                    <w:rPr>
                      <w:rFonts w:hint="default" w:cs="Times New Roman"/>
                      <w:color w:val="FF0000"/>
                      <w:szCs w:val="21"/>
                      <w:lang w:val="en-US" w:eastAsia="zh-CN"/>
                    </w:rPr>
                  </w:pPr>
                  <w:r>
                    <w:rPr>
                      <w:rFonts w:hint="eastAsia" w:cs="Times New Roman"/>
                      <w:color w:val="FF0000"/>
                      <w:szCs w:val="21"/>
                      <w:lang w:val="en-US" w:eastAsia="zh-CN"/>
                    </w:rPr>
                    <w:t>93</w:t>
                  </w:r>
                </w:p>
              </w:tc>
              <w:tc>
                <w:tcPr>
                  <w:tcW w:w="0" w:type="auto"/>
                  <w:vAlign w:val="center"/>
                </w:tcPr>
                <w:p>
                  <w:pPr>
                    <w:ind w:left="-50" w:right="-50"/>
                    <w:jc w:val="center"/>
                    <w:rPr>
                      <w:rFonts w:hint="default" w:cs="Times New Roman"/>
                      <w:color w:val="FF0000"/>
                      <w:szCs w:val="21"/>
                      <w:lang w:val="en-US" w:eastAsia="zh-CN"/>
                    </w:rPr>
                  </w:pPr>
                  <w:r>
                    <w:rPr>
                      <w:rFonts w:hint="eastAsia" w:cs="Times New Roman"/>
                      <w:color w:val="FF0000"/>
                      <w:szCs w:val="21"/>
                      <w:lang w:val="en-US" w:eastAsia="zh-CN"/>
                    </w:rPr>
                    <w:t>生石灰</w:t>
                  </w:r>
                </w:p>
              </w:tc>
              <w:tc>
                <w:tcPr>
                  <w:tcW w:w="0" w:type="auto"/>
                  <w:vAlign w:val="center"/>
                </w:tcPr>
                <w:p>
                  <w:pPr>
                    <w:ind w:left="-50" w:right="-50"/>
                    <w:jc w:val="center"/>
                    <w:rPr>
                      <w:rFonts w:hint="default" w:cs="Times New Roman"/>
                      <w:color w:val="FF0000"/>
                      <w:szCs w:val="21"/>
                      <w:lang w:val="en-US" w:eastAsia="zh-CN"/>
                    </w:rPr>
                  </w:pPr>
                  <w:r>
                    <w:rPr>
                      <w:rFonts w:hint="eastAsia" w:cs="Times New Roman"/>
                      <w:color w:val="FF0000"/>
                      <w:szCs w:val="21"/>
                      <w:lang w:val="en-US" w:eastAsia="zh-CN"/>
                    </w:rPr>
                    <w:t>/</w:t>
                  </w:r>
                </w:p>
              </w:tc>
              <w:tc>
                <w:tcPr>
                  <w:tcW w:w="0" w:type="auto"/>
                  <w:vAlign w:val="center"/>
                </w:tcPr>
                <w:p>
                  <w:pPr>
                    <w:ind w:left="-50" w:right="-50"/>
                    <w:jc w:val="center"/>
                    <w:rPr>
                      <w:rFonts w:hint="default" w:cs="Times New Roman"/>
                      <w:color w:val="FF0000"/>
                      <w:szCs w:val="21"/>
                      <w:lang w:val="en-US" w:eastAsia="zh-CN"/>
                    </w:rPr>
                  </w:pPr>
                  <w:r>
                    <w:rPr>
                      <w:rFonts w:hint="eastAsia" w:cs="Times New Roman"/>
                      <w:color w:val="FF0000"/>
                      <w:szCs w:val="21"/>
                      <w:lang w:val="en-US" w:eastAsia="zh-CN"/>
                    </w:rPr>
                    <w:t>2.33</w:t>
                  </w:r>
                </w:p>
              </w:tc>
              <w:tc>
                <w:tcPr>
                  <w:tcW w:w="0" w:type="auto"/>
                  <w:vAlign w:val="center"/>
                </w:tcPr>
                <w:p>
                  <w:pPr>
                    <w:ind w:left="-50" w:right="-50"/>
                    <w:jc w:val="center"/>
                    <w:rPr>
                      <w:rFonts w:hint="default" w:cs="Times New Roman"/>
                      <w:color w:val="FF0000"/>
                      <w:szCs w:val="21"/>
                      <w:lang w:val="en-US" w:eastAsia="zh-CN"/>
                    </w:rPr>
                  </w:pPr>
                  <w:r>
                    <w:rPr>
                      <w:rFonts w:hint="eastAsia" w:cs="Times New Roman"/>
                      <w:color w:val="FF0000"/>
                      <w:szCs w:val="21"/>
                      <w:lang w:val="en-US" w:eastAsia="zh-CN"/>
                    </w:rPr>
                    <w:t>吨</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cs="Times New Roman"/>
                <w:color w:val="FF0000"/>
                <w:sz w:val="24"/>
                <w:szCs w:val="24"/>
                <w:highlight w:val="none"/>
                <w:lang w:val="en-US" w:eastAsia="zh-CN"/>
              </w:rPr>
            </w:pPr>
            <w:r>
              <w:rPr>
                <w:rFonts w:hint="eastAsia" w:cs="Times New Roman"/>
                <w:b/>
                <w:bCs/>
                <w:color w:val="FF0000"/>
                <w:sz w:val="24"/>
                <w:szCs w:val="24"/>
                <w:highlight w:val="none"/>
                <w:lang w:val="en-US" w:eastAsia="zh-CN"/>
              </w:rPr>
              <w:t>次氯酸钠：</w:t>
            </w:r>
            <w:r>
              <w:rPr>
                <w:rFonts w:hint="eastAsia" w:cs="Times New Roman"/>
                <w:color w:val="FF0000"/>
                <w:sz w:val="24"/>
                <w:szCs w:val="24"/>
                <w:highlight w:val="none"/>
                <w:lang w:val="en-US" w:eastAsia="zh-CN"/>
              </w:rPr>
              <w:t>外观为白色粉末（固体），。熔点为-6℃，沸点为102.2℃，相对密度（水=1）为 1.1。易溶于水。主要用于消毒。不稳定，见光分解，受高热分解产生有毒的腐蚀性烟气。不燃，毒性：LD50：5800mg／kg（小鼠经口）。</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cs="Times New Roman"/>
                <w:color w:val="FF0000"/>
                <w:sz w:val="24"/>
                <w:szCs w:val="24"/>
                <w:highlight w:val="none"/>
                <w:lang w:val="en-US" w:eastAsia="zh-CN"/>
              </w:rPr>
            </w:pPr>
            <w:r>
              <w:rPr>
                <w:rFonts w:hint="eastAsia" w:cs="Times New Roman"/>
                <w:b/>
                <w:bCs/>
                <w:color w:val="FF0000"/>
                <w:sz w:val="24"/>
                <w:szCs w:val="24"/>
                <w:highlight w:val="none"/>
                <w:lang w:val="en-US" w:eastAsia="zh-CN"/>
              </w:rPr>
              <w:t>生石灰：</w:t>
            </w:r>
            <w:r>
              <w:rPr>
                <w:rFonts w:hint="eastAsia" w:cs="Times New Roman"/>
                <w:color w:val="FF0000"/>
                <w:sz w:val="24"/>
                <w:szCs w:val="24"/>
                <w:highlight w:val="none"/>
                <w:lang w:val="en-US" w:eastAsia="zh-CN"/>
              </w:rPr>
              <w:t>白色无定形粉末，含有杂质。 时呈灰色或淡黄色，具有吸湿性。难溶于水，相对密度(水=1)3.25~3.38g/cm</w:t>
            </w:r>
            <w:r>
              <w:rPr>
                <w:rFonts w:hint="eastAsia" w:cs="Times New Roman"/>
                <w:color w:val="FF0000"/>
                <w:sz w:val="24"/>
                <w:szCs w:val="24"/>
                <w:highlight w:val="none"/>
                <w:vertAlign w:val="superscript"/>
                <w:lang w:val="en-US" w:eastAsia="zh-CN"/>
              </w:rPr>
              <w:t>3</w:t>
            </w:r>
            <w:r>
              <w:rPr>
                <w:rFonts w:hint="eastAsia" w:cs="Times New Roman"/>
                <w:color w:val="FF0000"/>
                <w:sz w:val="24"/>
                <w:szCs w:val="24"/>
                <w:highlight w:val="none"/>
                <w:lang w:val="en-US" w:eastAsia="zh-CN"/>
              </w:rPr>
              <w:t>。稳定。为碱性氧化物，对湿敏感。易从空气中吸收二氧化碳及水分。与水反应生成氢氧化钙并产生大量热，有腐蚀性。</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5、总平面布置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（1）平面布置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本项目位于陕西省西安市莲湖区，总建筑面积6575m</w:t>
            </w:r>
            <w:r>
              <w:rPr>
                <w:rFonts w:hint="eastAsia" w:cs="Times New Roman"/>
                <w:color w:val="auto"/>
                <w:sz w:val="24"/>
                <w:szCs w:val="24"/>
                <w:highlight w:val="none"/>
                <w:vertAlign w:val="superscript"/>
                <w:lang w:val="en-US" w:eastAsia="zh-CN"/>
              </w:rPr>
              <w:t>2</w:t>
            </w:r>
            <w:r>
              <w:rPr>
                <w:rFonts w:hint="eastAsia" w:cs="Times New Roman"/>
                <w:color w:val="auto"/>
                <w:sz w:val="24"/>
                <w:szCs w:val="24"/>
                <w:highlight w:val="none"/>
                <w:lang w:val="en-US" w:eastAsia="zh-CN"/>
              </w:rPr>
              <w:t>；医院大楼位于场地东侧，医疗废物暂存间位于医院大楼外一层西北侧楼梯间，化粪池位于医院大楼西北侧，污水处理站位于医院一层西南部。项目总图布置功能分区明确，满足人、车及消防等需要。本项目平面布置图见附图3。</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（2）环保设施布局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污水处理设施：本项目生活污水排入自建化粪池处理后与检验科废水、医疗废水共同排入污水处理站（</w:t>
            </w:r>
            <w:bookmarkStart w:id="2" w:name="OLE_LINK1"/>
            <w:r>
              <w:rPr>
                <w:rFonts w:hint="eastAsia" w:cs="Times New Roman"/>
                <w:color w:val="auto"/>
                <w:sz w:val="24"/>
                <w:szCs w:val="24"/>
                <w:highlight w:val="none"/>
                <w:lang w:val="en-US" w:eastAsia="zh-CN"/>
              </w:rPr>
              <w:t>预处理+ A/O工艺+加次氯酸钠消毒</w:t>
            </w:r>
            <w:bookmarkEnd w:id="2"/>
            <w:r>
              <w:rPr>
                <w:rFonts w:hint="eastAsia" w:cs="Times New Roman"/>
                <w:color w:val="auto"/>
                <w:sz w:val="24"/>
                <w:szCs w:val="24"/>
                <w:highlight w:val="none"/>
                <w:lang w:val="en-US" w:eastAsia="zh-CN"/>
              </w:rPr>
              <w:t>）处理后可达到《医疗机构水污染物排放标准》（GB18466-2005）表2预处理标准及《污水排入城镇下水道水质标准》（GB/T31962-2015）A级标准，然后经市政污水管网排至西安市第四污水处理厂进一步处理。本项目污水处理设施位于医院一层西侧，采取地埋式安置，污水处理站四周定期喷洒生物除臭剂，环境影响较小。污水处理站距离西侧噪声敏感点上和城小区1栋住宅楼为17m，距离较近，但由于污水处理站水泵等主要噪声设备均在设备间内安置，对住宅区域影响较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医疗废物暂存间：根据《医疗废物管理条例》和《医疗废物集中处置技术规范》医疗废物暂存间“必须与医疗区、人员活动密集区隔开，方便医疗废物的装卸、装卸人员及运送车辆的出入”，本项目医废间位于医院一层西北侧，独立设置，避免了医疗废物对住院病人和门诊病人等的影响，同时也方便了医疗废物的装卸、装卸人员及运送车辆的出入。同时应对医疗废物暂存间地面进行防渗防漏处理，并设置严密的封闭措施，设专人加强管理，并对医疗废物暂存间设置了明显的警示标识和防渗防漏、防鼠、防蚊蝇、防蟑螂、防盗及预防儿童接触等安全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功能区布设满足环境保护需求和</w:t>
            </w:r>
            <w:r>
              <w:rPr>
                <w:rFonts w:hint="eastAsia" w:ascii="Times New Roman" w:hAnsi="Times New Roman" w:eastAsia="宋体" w:cs="Times New Roman"/>
                <w:color w:val="auto"/>
                <w:sz w:val="24"/>
                <w:szCs w:val="24"/>
                <w:highlight w:val="none"/>
                <w:lang w:val="en-US" w:eastAsia="zh-CN"/>
              </w:rPr>
              <w:t>运营</w:t>
            </w:r>
            <w:r>
              <w:rPr>
                <w:rFonts w:hint="default" w:ascii="Times New Roman" w:hAnsi="Times New Roman" w:eastAsia="宋体" w:cs="Times New Roman"/>
                <w:color w:val="auto"/>
                <w:sz w:val="24"/>
                <w:szCs w:val="24"/>
                <w:highlight w:val="none"/>
                <w:lang w:val="en-US" w:eastAsia="zh-CN"/>
              </w:rPr>
              <w:t>要求，从环保角度分析，总图布置合理。</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6、</w:t>
            </w:r>
            <w:r>
              <w:rPr>
                <w:rFonts w:hint="default" w:ascii="Times New Roman" w:hAnsi="Times New Roman" w:eastAsia="宋体" w:cs="Times New Roman"/>
                <w:b/>
                <w:bCs/>
                <w:color w:val="auto"/>
                <w:sz w:val="24"/>
                <w:szCs w:val="24"/>
                <w:highlight w:val="none"/>
                <w:lang w:val="en-US" w:eastAsia="zh-CN"/>
              </w:rPr>
              <w:t>辅助工程</w:t>
            </w:r>
          </w:p>
          <w:p>
            <w:pPr>
              <w:widowControl/>
              <w:spacing w:line="360" w:lineRule="auto"/>
              <w:ind w:firstLine="480" w:firstLineChars="200"/>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（1）给水</w:t>
            </w:r>
          </w:p>
          <w:p>
            <w:pPr>
              <w:widowControl/>
              <w:spacing w:line="360" w:lineRule="auto"/>
              <w:ind w:firstLine="480" w:firstLineChars="200"/>
              <w:rPr>
                <w:rFonts w:hint="default" w:ascii="Times New Roman" w:hAnsi="Times New Roman" w:eastAsia="宋体" w:cs="Times New Roman"/>
                <w:b w:val="0"/>
                <w:bCs w:val="0"/>
                <w:color w:val="auto"/>
                <w:sz w:val="24"/>
                <w:szCs w:val="24"/>
              </w:rPr>
            </w:pPr>
            <w:r>
              <w:rPr>
                <w:rFonts w:hint="eastAsia" w:ascii="Times New Roman" w:hAnsi="Times New Roman" w:eastAsia="宋体" w:cs="Times New Roman"/>
                <w:b w:val="0"/>
                <w:bCs w:val="0"/>
                <w:color w:val="auto"/>
                <w:sz w:val="24"/>
                <w:szCs w:val="24"/>
              </w:rPr>
              <w:t>本项目用水来自市政给水管网，用水主要包括住院病人用水、门诊病人用水、医务人员用水。</w:t>
            </w:r>
            <w:r>
              <w:rPr>
                <w:rFonts w:hint="default" w:ascii="Times New Roman" w:hAnsi="Times New Roman" w:eastAsia="宋体" w:cs="Times New Roman"/>
                <w:b w:val="0"/>
                <w:bCs w:val="0"/>
                <w:color w:val="auto"/>
                <w:sz w:val="24"/>
                <w:szCs w:val="24"/>
              </w:rPr>
              <w:t>根据建设单位提供的统计数据，本项目用水量情况具体如下：</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①住院病人用水</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根据《</w:t>
            </w:r>
            <w:r>
              <w:rPr>
                <w:rFonts w:hint="default" w:ascii="Times New Roman" w:hAnsi="Times New Roman" w:eastAsia="宋体" w:cs="Times New Roman"/>
                <w:b w:val="0"/>
                <w:bCs w:val="0"/>
                <w:color w:val="auto"/>
                <w:sz w:val="24"/>
                <w:szCs w:val="24"/>
                <w:lang w:val="en-US" w:eastAsia="zh-CN"/>
              </w:rPr>
              <w:t>行业用水定额</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val="en-US" w:eastAsia="zh-CN"/>
              </w:rPr>
              <w:t>DB61T/ 943-2020</w:t>
            </w:r>
            <w:r>
              <w:rPr>
                <w:rFonts w:hint="default" w:ascii="Times New Roman" w:hAnsi="Times New Roman" w:eastAsia="宋体" w:cs="Times New Roman"/>
                <w:b w:val="0"/>
                <w:bCs w:val="0"/>
                <w:color w:val="auto"/>
                <w:sz w:val="24"/>
                <w:szCs w:val="24"/>
              </w:rPr>
              <w:t>）中的用水系数，设</w:t>
            </w:r>
            <w:r>
              <w:rPr>
                <w:rFonts w:hint="eastAsia" w:cs="Times New Roman"/>
                <w:b w:val="0"/>
                <w:bCs w:val="0"/>
                <w:color w:val="auto"/>
                <w:sz w:val="24"/>
                <w:szCs w:val="24"/>
                <w:lang w:val="en-US" w:eastAsia="zh-CN"/>
              </w:rPr>
              <w:t>公共盥洗室和淋浴室</w:t>
            </w:r>
            <w:r>
              <w:rPr>
                <w:rFonts w:hint="default" w:ascii="Times New Roman" w:hAnsi="Times New Roman" w:eastAsia="宋体" w:cs="Times New Roman"/>
                <w:b w:val="0"/>
                <w:bCs w:val="0"/>
                <w:color w:val="auto"/>
                <w:sz w:val="24"/>
                <w:szCs w:val="24"/>
              </w:rPr>
              <w:t>的病床用水定额为</w:t>
            </w:r>
            <w:r>
              <w:rPr>
                <w:rFonts w:hint="eastAsia" w:cs="Times New Roman"/>
                <w:b w:val="0"/>
                <w:bCs w:val="0"/>
                <w:color w:val="auto"/>
                <w:sz w:val="24"/>
                <w:szCs w:val="24"/>
                <w:lang w:val="en-US" w:eastAsia="zh-CN"/>
              </w:rPr>
              <w:t>180</w:t>
            </w:r>
            <w:r>
              <w:rPr>
                <w:rFonts w:hint="default" w:ascii="Times New Roman" w:hAnsi="Times New Roman" w:eastAsia="宋体" w:cs="Times New Roman"/>
                <w:b w:val="0"/>
                <w:bCs w:val="0"/>
                <w:color w:val="auto"/>
                <w:sz w:val="24"/>
                <w:szCs w:val="24"/>
              </w:rPr>
              <w:t>L/床·天</w:t>
            </w:r>
            <w:r>
              <w:rPr>
                <w:rFonts w:hint="eastAsia" w:cs="Times New Roman"/>
                <w:b w:val="0"/>
                <w:bCs w:val="0"/>
                <w:color w:val="auto"/>
                <w:sz w:val="24"/>
                <w:szCs w:val="24"/>
                <w:lang w:eastAsia="zh-CN"/>
              </w:rPr>
              <w:t>（</w:t>
            </w:r>
            <w:r>
              <w:rPr>
                <w:rFonts w:hint="eastAsia" w:cs="Times New Roman"/>
                <w:b w:val="0"/>
                <w:bCs w:val="0"/>
                <w:color w:val="auto"/>
                <w:sz w:val="24"/>
                <w:szCs w:val="24"/>
                <w:lang w:val="en-US" w:eastAsia="zh-CN"/>
              </w:rPr>
              <w:t>病房无单独卫生间</w:t>
            </w:r>
            <w:r>
              <w:rPr>
                <w:rFonts w:hint="eastAsia"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，根据建设单位提供资料，本项目住院病人床位共计</w:t>
            </w:r>
            <w:r>
              <w:rPr>
                <w:rFonts w:hint="eastAsia" w:cs="Times New Roman"/>
                <w:b w:val="0"/>
                <w:bCs w:val="0"/>
                <w:color w:val="auto"/>
                <w:sz w:val="24"/>
                <w:szCs w:val="24"/>
                <w:lang w:val="en-US" w:eastAsia="zh-CN"/>
              </w:rPr>
              <w:t>200</w:t>
            </w:r>
            <w:r>
              <w:rPr>
                <w:rFonts w:hint="default" w:ascii="Times New Roman" w:hAnsi="Times New Roman" w:eastAsia="宋体" w:cs="Times New Roman"/>
                <w:b w:val="0"/>
                <w:bCs w:val="0"/>
                <w:color w:val="auto"/>
                <w:sz w:val="24"/>
                <w:szCs w:val="24"/>
              </w:rPr>
              <w:t>张，则本项目住院病人用水量为</w:t>
            </w:r>
            <w:r>
              <w:rPr>
                <w:rFonts w:hint="eastAsia" w:cs="Times New Roman"/>
                <w:b w:val="0"/>
                <w:bCs w:val="0"/>
                <w:color w:val="auto"/>
                <w:sz w:val="24"/>
                <w:szCs w:val="24"/>
                <w:lang w:val="en-US" w:eastAsia="zh-CN"/>
              </w:rPr>
              <w:t>36</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eastAsia" w:cs="Times New Roman"/>
                <w:b w:val="0"/>
                <w:bCs w:val="0"/>
                <w:color w:val="auto"/>
                <w:sz w:val="24"/>
                <w:szCs w:val="24"/>
                <w:lang w:val="en-US" w:eastAsia="zh-CN"/>
              </w:rPr>
              <w:t>13140</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/a。</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②门诊病人用水</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根据《</w:t>
            </w:r>
            <w:r>
              <w:rPr>
                <w:rFonts w:hint="default" w:ascii="Times New Roman" w:hAnsi="Times New Roman" w:eastAsia="宋体" w:cs="Times New Roman"/>
                <w:b w:val="0"/>
                <w:bCs w:val="0"/>
                <w:color w:val="auto"/>
                <w:sz w:val="24"/>
                <w:szCs w:val="24"/>
                <w:lang w:val="en-US" w:eastAsia="zh-CN"/>
              </w:rPr>
              <w:t>行业用水定额</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val="en-US" w:eastAsia="zh-CN"/>
              </w:rPr>
              <w:t>DB61T/ 943-2020</w:t>
            </w:r>
            <w:r>
              <w:rPr>
                <w:rFonts w:hint="default" w:ascii="Times New Roman" w:hAnsi="Times New Roman" w:eastAsia="宋体" w:cs="Times New Roman"/>
                <w:b w:val="0"/>
                <w:bCs w:val="0"/>
                <w:color w:val="auto"/>
                <w:sz w:val="24"/>
                <w:szCs w:val="24"/>
              </w:rPr>
              <w:t>）中的用水系数，门诊病人用水定额为</w:t>
            </w:r>
            <w:r>
              <w:rPr>
                <w:rFonts w:hint="default" w:ascii="Times New Roman" w:hAnsi="Times New Roman" w:eastAsia="宋体" w:cs="Times New Roman"/>
                <w:b w:val="0"/>
                <w:bCs w:val="0"/>
                <w:color w:val="auto"/>
                <w:sz w:val="24"/>
                <w:szCs w:val="24"/>
                <w:lang w:val="en-US" w:eastAsia="zh-CN"/>
              </w:rPr>
              <w:t>12</w:t>
            </w:r>
            <w:r>
              <w:rPr>
                <w:rFonts w:hint="default" w:ascii="Times New Roman" w:hAnsi="Times New Roman" w:eastAsia="宋体" w:cs="Times New Roman"/>
                <w:b w:val="0"/>
                <w:bCs w:val="0"/>
                <w:color w:val="auto"/>
                <w:sz w:val="24"/>
                <w:szCs w:val="24"/>
              </w:rPr>
              <w:t>L/人·次，本项目门诊每天接待患者约100人次/d，用水量为</w:t>
            </w:r>
            <w:r>
              <w:rPr>
                <w:rFonts w:hint="default" w:ascii="Times New Roman" w:hAnsi="Times New Roman" w:eastAsia="宋体" w:cs="Times New Roman"/>
                <w:b w:val="0"/>
                <w:bCs w:val="0"/>
                <w:color w:val="auto"/>
                <w:sz w:val="24"/>
                <w:szCs w:val="24"/>
                <w:lang w:val="en-US" w:eastAsia="zh-CN"/>
              </w:rPr>
              <w:t>1.2</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default" w:ascii="Times New Roman" w:hAnsi="Times New Roman" w:eastAsia="宋体" w:cs="Times New Roman"/>
                <w:b w:val="0"/>
                <w:bCs w:val="0"/>
                <w:color w:val="auto"/>
                <w:sz w:val="24"/>
                <w:szCs w:val="24"/>
                <w:lang w:val="en-US" w:eastAsia="zh-CN"/>
              </w:rPr>
              <w:t>438</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 xml:space="preserve"> /a。</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③医务人员用水</w:t>
            </w:r>
          </w:p>
          <w:p>
            <w:pPr>
              <w:pStyle w:val="2"/>
              <w:keepNext w:val="0"/>
              <w:keepLines w:val="0"/>
              <w:pageBreakBefore w:val="0"/>
              <w:tabs>
                <w:tab w:val="left" w:pos="1080"/>
              </w:tabs>
              <w:kinsoku/>
              <w:wordWrap/>
              <w:overflowPunct/>
              <w:topLinePunct w:val="0"/>
              <w:autoSpaceDE/>
              <w:autoSpaceDN/>
              <w:bidi w:val="0"/>
              <w:adjustRightInd w:val="0"/>
              <w:snapToGrid w:val="0"/>
              <w:spacing w:before="0" w:beforeLines="0" w:after="0" w:afterLines="0"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根据《</w:t>
            </w:r>
            <w:r>
              <w:rPr>
                <w:rFonts w:hint="default" w:ascii="Times New Roman" w:hAnsi="Times New Roman" w:eastAsia="宋体" w:cs="Times New Roman"/>
                <w:b w:val="0"/>
                <w:bCs w:val="0"/>
                <w:color w:val="auto"/>
                <w:sz w:val="24"/>
                <w:szCs w:val="24"/>
                <w:lang w:val="en-US" w:eastAsia="zh-CN"/>
              </w:rPr>
              <w:t>行业用水定额</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val="en-US" w:eastAsia="zh-CN"/>
              </w:rPr>
              <w:t>DB61T/ 943-2020</w:t>
            </w:r>
            <w:r>
              <w:rPr>
                <w:rFonts w:hint="default" w:ascii="Times New Roman" w:hAnsi="Times New Roman" w:eastAsia="宋体" w:cs="Times New Roman"/>
                <w:b w:val="0"/>
                <w:bCs w:val="0"/>
                <w:color w:val="auto"/>
                <w:sz w:val="24"/>
                <w:szCs w:val="24"/>
              </w:rPr>
              <w:t>）中的用水系数，医务人员用水定额为</w:t>
            </w:r>
            <w:r>
              <w:rPr>
                <w:rFonts w:hint="default" w:ascii="Times New Roman" w:hAnsi="Times New Roman" w:eastAsia="宋体" w:cs="Times New Roman"/>
                <w:b w:val="0"/>
                <w:bCs w:val="0"/>
                <w:color w:val="auto"/>
                <w:sz w:val="24"/>
                <w:szCs w:val="24"/>
                <w:lang w:val="en-US" w:eastAsia="zh-CN"/>
              </w:rPr>
              <w:t>150</w:t>
            </w:r>
            <w:r>
              <w:rPr>
                <w:rFonts w:hint="default" w:ascii="Times New Roman" w:hAnsi="Times New Roman" w:eastAsia="宋体" w:cs="Times New Roman"/>
                <w:b w:val="0"/>
                <w:bCs w:val="0"/>
                <w:color w:val="auto"/>
                <w:sz w:val="24"/>
                <w:szCs w:val="24"/>
              </w:rPr>
              <w:t>L/人·班，本项目医护人员共</w:t>
            </w:r>
            <w:r>
              <w:rPr>
                <w:rFonts w:hint="default" w:ascii="Times New Roman" w:hAnsi="Times New Roman" w:eastAsia="宋体" w:cs="Times New Roman"/>
                <w:b w:val="0"/>
                <w:bCs w:val="0"/>
                <w:color w:val="auto"/>
                <w:sz w:val="24"/>
                <w:szCs w:val="24"/>
                <w:lang w:val="en-US" w:eastAsia="zh-CN"/>
              </w:rPr>
              <w:t>50</w:t>
            </w:r>
            <w:r>
              <w:rPr>
                <w:rFonts w:hint="default" w:ascii="Times New Roman" w:hAnsi="Times New Roman" w:eastAsia="宋体" w:cs="Times New Roman"/>
                <w:b w:val="0"/>
                <w:bCs w:val="0"/>
                <w:color w:val="auto"/>
                <w:sz w:val="24"/>
                <w:szCs w:val="24"/>
              </w:rPr>
              <w:t>人，则用水量为</w:t>
            </w:r>
            <w:r>
              <w:rPr>
                <w:rFonts w:hint="default" w:ascii="Times New Roman" w:hAnsi="Times New Roman" w:eastAsia="宋体" w:cs="Times New Roman"/>
                <w:b w:val="0"/>
                <w:bCs w:val="0"/>
                <w:color w:val="auto"/>
                <w:sz w:val="24"/>
                <w:szCs w:val="24"/>
                <w:lang w:val="en-US" w:eastAsia="zh-CN"/>
              </w:rPr>
              <w:t>7.5</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default" w:ascii="Times New Roman" w:hAnsi="Times New Roman" w:eastAsia="宋体" w:cs="Times New Roman"/>
                <w:b w:val="0"/>
                <w:bCs w:val="0"/>
                <w:color w:val="auto"/>
                <w:sz w:val="24"/>
                <w:szCs w:val="24"/>
                <w:lang w:val="en-US" w:eastAsia="zh-CN"/>
              </w:rPr>
              <w:t>2737.5</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/a。</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lang w:val="en-US" w:eastAsia="zh-CN"/>
              </w:rPr>
            </w:pPr>
            <w:r>
              <w:rPr>
                <w:rFonts w:hint="eastAsia" w:ascii="宋体" w:hAnsi="宋体" w:eastAsia="宋体" w:cs="宋体"/>
                <w:b w:val="0"/>
                <w:bCs w:val="0"/>
                <w:color w:val="auto"/>
                <w:sz w:val="24"/>
                <w:szCs w:val="24"/>
              </w:rPr>
              <w:t>④</w:t>
            </w:r>
            <w:r>
              <w:rPr>
                <w:rFonts w:hint="eastAsia" w:cs="Times New Roman"/>
                <w:b w:val="0"/>
                <w:bCs w:val="0"/>
                <w:color w:val="auto"/>
                <w:sz w:val="24"/>
                <w:szCs w:val="24"/>
                <w:lang w:val="en-US" w:eastAsia="zh-CN"/>
              </w:rPr>
              <w:t>食堂用水</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vertAlign w:val="baseline"/>
                <w:lang w:val="en-US" w:eastAsia="zh-CN"/>
              </w:rPr>
            </w:pPr>
            <w:r>
              <w:rPr>
                <w:rFonts w:hint="eastAsia" w:cs="Times New Roman"/>
                <w:b w:val="0"/>
                <w:bCs w:val="0"/>
                <w:color w:val="auto"/>
                <w:sz w:val="24"/>
                <w:szCs w:val="24"/>
                <w:lang w:val="en-US" w:eastAsia="zh-CN"/>
              </w:rPr>
              <w:t>根据</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val="en-US" w:eastAsia="zh-CN"/>
              </w:rPr>
              <w:t>行业用水定额</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val="en-US" w:eastAsia="zh-CN"/>
              </w:rPr>
              <w:t>DB61T/ 943-2020</w:t>
            </w:r>
            <w:r>
              <w:rPr>
                <w:rFonts w:hint="default" w:ascii="Times New Roman" w:hAnsi="Times New Roman" w:eastAsia="宋体" w:cs="Times New Roman"/>
                <w:b w:val="0"/>
                <w:bCs w:val="0"/>
                <w:color w:val="auto"/>
                <w:sz w:val="24"/>
                <w:szCs w:val="24"/>
              </w:rPr>
              <w:t>）中的用水系数</w:t>
            </w:r>
            <w:r>
              <w:rPr>
                <w:rFonts w:hint="eastAsia" w:cs="Times New Roman"/>
                <w:b w:val="0"/>
                <w:bCs w:val="0"/>
                <w:color w:val="auto"/>
                <w:sz w:val="24"/>
                <w:szCs w:val="24"/>
                <w:lang w:eastAsia="zh-CN"/>
              </w:rPr>
              <w:t>，</w:t>
            </w:r>
            <w:r>
              <w:rPr>
                <w:rFonts w:hint="eastAsia" w:cs="Times New Roman"/>
                <w:b w:val="0"/>
                <w:bCs w:val="0"/>
                <w:color w:val="auto"/>
                <w:sz w:val="24"/>
                <w:szCs w:val="24"/>
                <w:lang w:val="en-US" w:eastAsia="zh-CN"/>
              </w:rPr>
              <w:t>中小型（营业面积小于500m</w:t>
            </w:r>
            <w:r>
              <w:rPr>
                <w:rFonts w:hint="eastAsia" w:cs="Times New Roman"/>
                <w:b w:val="0"/>
                <w:bCs w:val="0"/>
                <w:color w:val="auto"/>
                <w:sz w:val="24"/>
                <w:szCs w:val="24"/>
                <w:vertAlign w:val="superscript"/>
                <w:lang w:val="en-US" w:eastAsia="zh-CN"/>
              </w:rPr>
              <w:t>2</w:t>
            </w:r>
            <w:r>
              <w:rPr>
                <w:rFonts w:hint="eastAsia" w:cs="Times New Roman"/>
                <w:b w:val="0"/>
                <w:bCs w:val="0"/>
                <w:color w:val="auto"/>
                <w:sz w:val="24"/>
                <w:szCs w:val="24"/>
                <w:vertAlign w:val="baseline"/>
                <w:lang w:val="en-US" w:eastAsia="zh-CN"/>
              </w:rPr>
              <w:t>，本项目食堂面积为120</w:t>
            </w:r>
            <w:r>
              <w:rPr>
                <w:rFonts w:hint="eastAsia" w:cs="Times New Roman"/>
                <w:b w:val="0"/>
                <w:bCs w:val="0"/>
                <w:color w:val="auto"/>
                <w:sz w:val="24"/>
                <w:szCs w:val="24"/>
                <w:lang w:val="en-US" w:eastAsia="zh-CN"/>
              </w:rPr>
              <w:t>m</w:t>
            </w:r>
            <w:r>
              <w:rPr>
                <w:rFonts w:hint="eastAsia" w:cs="Times New Roman"/>
                <w:b w:val="0"/>
                <w:bCs w:val="0"/>
                <w:color w:val="auto"/>
                <w:sz w:val="24"/>
                <w:szCs w:val="24"/>
                <w:vertAlign w:val="superscript"/>
                <w:lang w:val="en-US" w:eastAsia="zh-CN"/>
              </w:rPr>
              <w:t>2</w:t>
            </w:r>
            <w:r>
              <w:rPr>
                <w:rFonts w:hint="eastAsia" w:cs="Times New Roman"/>
                <w:b w:val="0"/>
                <w:bCs w:val="0"/>
                <w:color w:val="auto"/>
                <w:sz w:val="24"/>
                <w:szCs w:val="24"/>
                <w:lang w:val="en-US" w:eastAsia="zh-CN"/>
              </w:rPr>
              <w:t>）正餐服务用水量为16m</w:t>
            </w:r>
            <w:r>
              <w:rPr>
                <w:rFonts w:hint="eastAsia" w:cs="Times New Roman"/>
                <w:b w:val="0"/>
                <w:bCs w:val="0"/>
                <w:color w:val="auto"/>
                <w:sz w:val="24"/>
                <w:szCs w:val="24"/>
                <w:vertAlign w:val="superscript"/>
                <w:lang w:val="en-US" w:eastAsia="zh-CN"/>
              </w:rPr>
              <w:t>3</w:t>
            </w:r>
            <w:r>
              <w:rPr>
                <w:rFonts w:hint="eastAsia" w:cs="Times New Roman"/>
                <w:b w:val="0"/>
                <w:bCs w:val="0"/>
                <w:color w:val="auto"/>
                <w:sz w:val="24"/>
                <w:szCs w:val="24"/>
                <w:lang w:val="en-US" w:eastAsia="zh-CN"/>
              </w:rPr>
              <w:t>/（m</w:t>
            </w:r>
            <w:r>
              <w:rPr>
                <w:rFonts w:hint="eastAsia" w:cs="Times New Roman"/>
                <w:b w:val="0"/>
                <w:bCs w:val="0"/>
                <w:color w:val="auto"/>
                <w:sz w:val="24"/>
                <w:szCs w:val="24"/>
                <w:vertAlign w:val="superscript"/>
                <w:lang w:val="en-US" w:eastAsia="zh-CN"/>
              </w:rPr>
              <w:t>2</w:t>
            </w:r>
            <w:r>
              <w:rPr>
                <w:rFonts w:hint="eastAsia" w:cs="Times New Roman"/>
                <w:b w:val="0"/>
                <w:bCs w:val="0"/>
                <w:color w:val="auto"/>
                <w:sz w:val="24"/>
                <w:szCs w:val="24"/>
                <w:lang w:val="en-US" w:eastAsia="zh-CN"/>
              </w:rPr>
              <w:t>·a），则用水量为5.26</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eastAsia" w:cs="Times New Roman"/>
                <w:b w:val="0"/>
                <w:bCs w:val="0"/>
                <w:color w:val="auto"/>
                <w:sz w:val="24"/>
                <w:szCs w:val="24"/>
                <w:lang w:eastAsia="zh-CN"/>
              </w:rPr>
              <w:t>，</w:t>
            </w:r>
            <w:r>
              <w:rPr>
                <w:rFonts w:hint="eastAsia" w:cs="Times New Roman"/>
                <w:b w:val="0"/>
                <w:bCs w:val="0"/>
                <w:color w:val="auto"/>
                <w:sz w:val="24"/>
                <w:szCs w:val="24"/>
                <w:lang w:val="en-US" w:eastAsia="zh-CN"/>
              </w:rPr>
              <w:t>1920m</w:t>
            </w:r>
            <w:r>
              <w:rPr>
                <w:rFonts w:hint="eastAsia" w:cs="Times New Roman"/>
                <w:b w:val="0"/>
                <w:bCs w:val="0"/>
                <w:color w:val="auto"/>
                <w:sz w:val="24"/>
                <w:szCs w:val="24"/>
                <w:vertAlign w:val="superscript"/>
                <w:lang w:val="en-US" w:eastAsia="zh-CN"/>
              </w:rPr>
              <w:t>3</w:t>
            </w:r>
            <w:r>
              <w:rPr>
                <w:rFonts w:hint="eastAsia" w:cs="Times New Roman"/>
                <w:b w:val="0"/>
                <w:bCs w:val="0"/>
                <w:color w:val="auto"/>
                <w:sz w:val="24"/>
                <w:szCs w:val="24"/>
                <w:vertAlign w:val="baseline"/>
                <w:lang w:val="en-US" w:eastAsia="zh-CN"/>
              </w:rPr>
              <w:t>/a</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（2）排水</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项目排水采用雨污分流方式，雨水经管道收集后，直接排入室外雨水管网。本项目生活污水排入</w:t>
            </w:r>
            <w:r>
              <w:rPr>
                <w:rFonts w:hint="eastAsia" w:ascii="Times New Roman" w:hAnsi="Times New Roman" w:eastAsia="宋体" w:cs="Times New Roman"/>
                <w:b w:val="0"/>
                <w:bCs w:val="0"/>
                <w:color w:val="auto"/>
                <w:sz w:val="24"/>
                <w:szCs w:val="24"/>
                <w:lang w:val="en-US" w:eastAsia="zh-CN"/>
              </w:rPr>
              <w:t>已建</w:t>
            </w:r>
            <w:r>
              <w:rPr>
                <w:rFonts w:hint="default" w:ascii="Times New Roman" w:hAnsi="Times New Roman" w:eastAsia="宋体" w:cs="Times New Roman"/>
                <w:b w:val="0"/>
                <w:bCs w:val="0"/>
                <w:color w:val="auto"/>
                <w:sz w:val="24"/>
                <w:szCs w:val="24"/>
              </w:rPr>
              <w:t>化粪池处理后与检验科废水、医疗废水共同排入污水处理站（</w:t>
            </w:r>
            <w:r>
              <w:rPr>
                <w:rFonts w:hint="eastAsia" w:cs="Times New Roman"/>
                <w:color w:val="auto"/>
                <w:sz w:val="24"/>
                <w:szCs w:val="24"/>
                <w:highlight w:val="none"/>
                <w:lang w:val="en-US" w:eastAsia="zh-CN"/>
              </w:rPr>
              <w:t>预处理+ A/O工艺+加次氯酸钠消毒</w:t>
            </w:r>
            <w:r>
              <w:rPr>
                <w:rFonts w:hint="default" w:ascii="Times New Roman" w:hAnsi="Times New Roman" w:eastAsia="宋体" w:cs="Times New Roman"/>
                <w:b w:val="0"/>
                <w:bCs w:val="0"/>
                <w:color w:val="auto"/>
                <w:sz w:val="24"/>
                <w:szCs w:val="24"/>
              </w:rPr>
              <w:t>）处理后可达到《医疗机构水污染物排放标准》（GB18466-2005）表2预处理标准及《污水排入城镇下水道水质标准》（GB/T31962-2015）A级标准，然后</w:t>
            </w:r>
            <w:r>
              <w:rPr>
                <w:rFonts w:hint="eastAsia" w:cs="Times New Roman"/>
                <w:b w:val="0"/>
                <w:bCs w:val="0"/>
                <w:color w:val="auto"/>
                <w:sz w:val="24"/>
                <w:szCs w:val="24"/>
                <w:lang w:val="en-US" w:eastAsia="zh-CN"/>
              </w:rPr>
              <w:t>经</w:t>
            </w:r>
            <w:r>
              <w:rPr>
                <w:rFonts w:hint="default" w:ascii="Times New Roman" w:hAnsi="Times New Roman" w:eastAsia="宋体" w:cs="Times New Roman"/>
                <w:b w:val="0"/>
                <w:bCs w:val="0"/>
                <w:color w:val="auto"/>
                <w:sz w:val="24"/>
                <w:szCs w:val="24"/>
              </w:rPr>
              <w:t>市政污水管网排至</w:t>
            </w:r>
            <w:r>
              <w:rPr>
                <w:rFonts w:hint="eastAsia" w:cs="Times New Roman"/>
                <w:b w:val="0"/>
                <w:bCs w:val="0"/>
                <w:color w:val="auto"/>
                <w:sz w:val="24"/>
                <w:szCs w:val="24"/>
                <w:lang w:val="en-US" w:eastAsia="zh-CN"/>
              </w:rPr>
              <w:t>西安市第四</w:t>
            </w:r>
            <w:r>
              <w:rPr>
                <w:rFonts w:hint="default" w:ascii="Times New Roman" w:hAnsi="Times New Roman" w:eastAsia="宋体" w:cs="Times New Roman"/>
                <w:b w:val="0"/>
                <w:bCs w:val="0"/>
                <w:color w:val="auto"/>
                <w:sz w:val="24"/>
                <w:szCs w:val="24"/>
              </w:rPr>
              <w:t>污水处理厂进一步处理。废水产生量按用水量的</w:t>
            </w:r>
            <w:r>
              <w:rPr>
                <w:rFonts w:hint="eastAsia" w:ascii="Times New Roman" w:hAnsi="Times New Roman" w:eastAsia="宋体" w:cs="Times New Roman"/>
                <w:b w:val="0"/>
                <w:bCs w:val="0"/>
                <w:color w:val="auto"/>
                <w:sz w:val="24"/>
                <w:szCs w:val="24"/>
                <w:lang w:val="en-US" w:eastAsia="zh-CN"/>
              </w:rPr>
              <w:t>80</w:t>
            </w:r>
            <w:r>
              <w:rPr>
                <w:rFonts w:hint="default" w:ascii="Times New Roman" w:hAnsi="Times New Roman" w:eastAsia="宋体" w:cs="Times New Roman"/>
                <w:b w:val="0"/>
                <w:bCs w:val="0"/>
                <w:color w:val="auto"/>
                <w:sz w:val="24"/>
                <w:szCs w:val="24"/>
              </w:rPr>
              <w:t>%计，则</w:t>
            </w:r>
            <w:r>
              <w:rPr>
                <w:rFonts w:hint="eastAsia" w:cs="Times New Roman"/>
                <w:b w:val="0"/>
                <w:bCs w:val="0"/>
                <w:color w:val="auto"/>
                <w:sz w:val="24"/>
                <w:szCs w:val="24"/>
                <w:lang w:val="en-US" w:eastAsia="zh-CN"/>
              </w:rPr>
              <w:t>住院病人污水</w:t>
            </w:r>
            <w:r>
              <w:rPr>
                <w:rFonts w:hint="default" w:ascii="Times New Roman" w:hAnsi="Times New Roman" w:eastAsia="宋体" w:cs="Times New Roman"/>
                <w:b w:val="0"/>
                <w:bCs w:val="0"/>
                <w:color w:val="auto"/>
                <w:sz w:val="24"/>
                <w:szCs w:val="24"/>
              </w:rPr>
              <w:t>产生量为</w:t>
            </w:r>
            <w:r>
              <w:rPr>
                <w:rFonts w:hint="eastAsia" w:cs="Times New Roman"/>
                <w:b w:val="0"/>
                <w:bCs w:val="0"/>
                <w:color w:val="auto"/>
                <w:sz w:val="24"/>
                <w:szCs w:val="24"/>
                <w:lang w:val="en-US" w:eastAsia="zh-CN"/>
              </w:rPr>
              <w:t>28.8</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eastAsia" w:cs="Times New Roman"/>
                <w:b w:val="0"/>
                <w:bCs w:val="0"/>
                <w:color w:val="auto"/>
                <w:sz w:val="24"/>
                <w:szCs w:val="24"/>
                <w:lang w:val="en-US" w:eastAsia="zh-CN"/>
              </w:rPr>
              <w:t>10512</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/a；</w:t>
            </w:r>
            <w:r>
              <w:rPr>
                <w:rFonts w:hint="eastAsia" w:cs="Times New Roman"/>
                <w:b w:val="0"/>
                <w:bCs w:val="0"/>
                <w:color w:val="auto"/>
                <w:sz w:val="24"/>
                <w:szCs w:val="24"/>
                <w:lang w:val="en-US" w:eastAsia="zh-CN"/>
              </w:rPr>
              <w:t>医务人员</w:t>
            </w:r>
            <w:r>
              <w:rPr>
                <w:rFonts w:hint="default" w:ascii="Times New Roman" w:hAnsi="Times New Roman" w:eastAsia="宋体" w:cs="Times New Roman"/>
                <w:b w:val="0"/>
                <w:bCs w:val="0"/>
                <w:color w:val="auto"/>
                <w:sz w:val="24"/>
                <w:szCs w:val="24"/>
              </w:rPr>
              <w:t>污水产生量为</w:t>
            </w:r>
            <w:r>
              <w:rPr>
                <w:rFonts w:hint="eastAsia" w:cs="Times New Roman"/>
                <w:b w:val="0"/>
                <w:bCs w:val="0"/>
                <w:color w:val="auto"/>
                <w:sz w:val="24"/>
                <w:szCs w:val="24"/>
                <w:lang w:val="en-US" w:eastAsia="zh-CN"/>
              </w:rPr>
              <w:t>6</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eastAsia" w:cs="Times New Roman"/>
                <w:b w:val="0"/>
                <w:bCs w:val="0"/>
                <w:color w:val="auto"/>
                <w:sz w:val="24"/>
                <w:szCs w:val="24"/>
                <w:lang w:val="en-US" w:eastAsia="zh-CN"/>
              </w:rPr>
              <w:t>2190</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/a；</w:t>
            </w:r>
            <w:r>
              <w:rPr>
                <w:rFonts w:hint="eastAsia" w:cs="Times New Roman"/>
                <w:b w:val="0"/>
                <w:bCs w:val="0"/>
                <w:color w:val="auto"/>
                <w:sz w:val="24"/>
                <w:szCs w:val="24"/>
                <w:lang w:val="en-US" w:eastAsia="zh-CN"/>
              </w:rPr>
              <w:t>门诊病人污水</w:t>
            </w:r>
            <w:r>
              <w:rPr>
                <w:rFonts w:hint="default" w:ascii="Times New Roman" w:hAnsi="Times New Roman" w:eastAsia="宋体" w:cs="Times New Roman"/>
                <w:b w:val="0"/>
                <w:bCs w:val="0"/>
                <w:color w:val="auto"/>
                <w:sz w:val="24"/>
                <w:szCs w:val="24"/>
              </w:rPr>
              <w:t>产生量为</w:t>
            </w:r>
            <w:r>
              <w:rPr>
                <w:rFonts w:hint="eastAsia" w:cs="Times New Roman"/>
                <w:b w:val="0"/>
                <w:bCs w:val="0"/>
                <w:color w:val="auto"/>
                <w:sz w:val="24"/>
                <w:szCs w:val="24"/>
                <w:lang w:val="en-US" w:eastAsia="zh-CN"/>
              </w:rPr>
              <w:t>0.96</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eastAsia" w:cs="Times New Roman"/>
                <w:b w:val="0"/>
                <w:bCs w:val="0"/>
                <w:color w:val="auto"/>
                <w:sz w:val="24"/>
                <w:szCs w:val="24"/>
                <w:lang w:val="en-US" w:eastAsia="zh-CN"/>
              </w:rPr>
              <w:t>350.4</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/a</w:t>
            </w:r>
            <w:r>
              <w:rPr>
                <w:rFonts w:hint="eastAsia" w:cs="Times New Roman"/>
                <w:b w:val="0"/>
                <w:bCs w:val="0"/>
                <w:color w:val="auto"/>
                <w:sz w:val="24"/>
                <w:szCs w:val="24"/>
                <w:lang w:eastAsia="zh-CN"/>
              </w:rPr>
              <w:t>，</w:t>
            </w:r>
            <w:r>
              <w:rPr>
                <w:rFonts w:hint="eastAsia" w:cs="Times New Roman"/>
                <w:b w:val="0"/>
                <w:bCs w:val="0"/>
                <w:color w:val="auto"/>
                <w:sz w:val="24"/>
                <w:szCs w:val="24"/>
                <w:lang w:val="en-US" w:eastAsia="zh-CN"/>
              </w:rPr>
              <w:t>食堂废水产生量为4.208</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/d、</w:t>
            </w:r>
            <w:r>
              <w:rPr>
                <w:rFonts w:hint="eastAsia" w:cs="Times New Roman"/>
                <w:b w:val="0"/>
                <w:bCs w:val="0"/>
                <w:color w:val="auto"/>
                <w:sz w:val="24"/>
                <w:szCs w:val="24"/>
                <w:lang w:val="en-US" w:eastAsia="zh-CN"/>
              </w:rPr>
              <w:t>1535.92</w:t>
            </w:r>
            <w:r>
              <w:rPr>
                <w:rFonts w:hint="default" w:ascii="Times New Roman" w:hAnsi="Times New Roman" w:eastAsia="宋体" w:cs="Times New Roman"/>
                <w:b w:val="0"/>
                <w:bCs w:val="0"/>
                <w:color w:val="auto"/>
                <w:sz w:val="24"/>
                <w:szCs w:val="24"/>
              </w:rPr>
              <w:t>m</w:t>
            </w:r>
            <w:r>
              <w:rPr>
                <w:rFonts w:hint="default" w:ascii="Times New Roman" w:hAnsi="Times New Roman" w:eastAsia="宋体" w:cs="Times New Roman"/>
                <w:b w:val="0"/>
                <w:bCs w:val="0"/>
                <w:color w:val="auto"/>
                <w:sz w:val="24"/>
                <w:szCs w:val="24"/>
                <w:vertAlign w:val="superscript"/>
              </w:rPr>
              <w:t>3</w:t>
            </w:r>
            <w:r>
              <w:rPr>
                <w:rFonts w:hint="default" w:ascii="Times New Roman" w:hAnsi="Times New Roman" w:eastAsia="宋体" w:cs="Times New Roman"/>
                <w:b w:val="0"/>
                <w:bCs w:val="0"/>
                <w:color w:val="auto"/>
                <w:sz w:val="24"/>
                <w:szCs w:val="24"/>
              </w:rPr>
              <w:t>/a。</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本项目用水及排水情况见表</w:t>
            </w:r>
            <w:r>
              <w:rPr>
                <w:rFonts w:hint="eastAsia" w:ascii="Times New Roman" w:hAnsi="Times New Roman" w:eastAsia="宋体" w:cs="Times New Roman"/>
                <w:b w:val="0"/>
                <w:bCs w:val="0"/>
                <w:color w:val="auto"/>
                <w:sz w:val="24"/>
                <w:szCs w:val="24"/>
              </w:rPr>
              <w:t>2-</w:t>
            </w:r>
            <w:r>
              <w:rPr>
                <w:rFonts w:hint="eastAsia" w:cs="Times New Roman"/>
                <w:b w:val="0"/>
                <w:bCs w:val="0"/>
                <w:color w:val="auto"/>
                <w:sz w:val="24"/>
                <w:szCs w:val="24"/>
                <w:lang w:val="en-US" w:eastAsia="zh-CN"/>
              </w:rPr>
              <w:t>4</w:t>
            </w:r>
            <w:r>
              <w:rPr>
                <w:rFonts w:hint="default" w:ascii="Times New Roman" w:hAnsi="Times New Roman" w:eastAsia="宋体" w:cs="Times New Roman"/>
                <w:b w:val="0"/>
                <w:bCs w:val="0"/>
                <w:color w:val="auto"/>
                <w:sz w:val="24"/>
                <w:szCs w:val="24"/>
              </w:rPr>
              <w:t>，项目水平衡图见图</w:t>
            </w:r>
            <w:r>
              <w:rPr>
                <w:rFonts w:hint="eastAsia"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rPr>
              <w:t>-1。</w:t>
            </w:r>
          </w:p>
          <w:p>
            <w:pPr>
              <w:adjustRightInd w:val="0"/>
              <w:spacing w:line="360" w:lineRule="auto"/>
              <w:ind w:firstLine="422" w:firstLineChars="200"/>
              <w:jc w:val="center"/>
              <w:rPr>
                <w:b/>
                <w:bCs/>
                <w:color w:val="auto"/>
                <w:szCs w:val="21"/>
              </w:rPr>
            </w:pPr>
            <w:r>
              <w:rPr>
                <w:b/>
                <w:bCs/>
                <w:color w:val="auto"/>
                <w:szCs w:val="21"/>
              </w:rPr>
              <w:t>表</w:t>
            </w:r>
            <w:r>
              <w:rPr>
                <w:rFonts w:hint="eastAsia"/>
                <w:b/>
                <w:bCs/>
                <w:color w:val="auto"/>
                <w:szCs w:val="21"/>
              </w:rPr>
              <w:t>2-</w:t>
            </w:r>
            <w:r>
              <w:rPr>
                <w:rFonts w:hint="eastAsia"/>
                <w:b/>
                <w:bCs/>
                <w:color w:val="auto"/>
                <w:szCs w:val="21"/>
                <w:lang w:val="en-US" w:eastAsia="zh-CN"/>
              </w:rPr>
              <w:t>4</w:t>
            </w:r>
            <w:r>
              <w:rPr>
                <w:b/>
                <w:bCs/>
                <w:color w:val="auto"/>
                <w:szCs w:val="21"/>
              </w:rPr>
              <w:t xml:space="preserve">    本项目用水及排水情况一览表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924"/>
              <w:gridCol w:w="1699"/>
              <w:gridCol w:w="1381"/>
              <w:gridCol w:w="1410"/>
              <w:gridCol w:w="1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9" w:type="dxa"/>
                  <w:noWrap w:val="0"/>
                  <w:vAlign w:val="center"/>
                </w:tcPr>
                <w:p>
                  <w:pPr>
                    <w:adjustRightInd w:val="0"/>
                    <w:spacing w:line="300" w:lineRule="exact"/>
                    <w:jc w:val="center"/>
                    <w:rPr>
                      <w:color w:val="auto"/>
                      <w:szCs w:val="21"/>
                    </w:rPr>
                  </w:pPr>
                  <w:r>
                    <w:rPr>
                      <w:color w:val="auto"/>
                      <w:szCs w:val="21"/>
                    </w:rPr>
                    <w:t>序号</w:t>
                  </w:r>
                </w:p>
              </w:tc>
              <w:tc>
                <w:tcPr>
                  <w:tcW w:w="1925" w:type="dxa"/>
                  <w:noWrap w:val="0"/>
                  <w:vAlign w:val="center"/>
                </w:tcPr>
                <w:p>
                  <w:pPr>
                    <w:adjustRightInd w:val="0"/>
                    <w:spacing w:line="300" w:lineRule="exact"/>
                    <w:jc w:val="center"/>
                    <w:rPr>
                      <w:color w:val="auto"/>
                      <w:szCs w:val="21"/>
                    </w:rPr>
                  </w:pPr>
                  <w:r>
                    <w:rPr>
                      <w:color w:val="auto"/>
                      <w:szCs w:val="21"/>
                    </w:rPr>
                    <w:t>用水单元</w:t>
                  </w:r>
                </w:p>
              </w:tc>
              <w:tc>
                <w:tcPr>
                  <w:tcW w:w="1699" w:type="dxa"/>
                  <w:noWrap w:val="0"/>
                  <w:vAlign w:val="center"/>
                </w:tcPr>
                <w:p>
                  <w:pPr>
                    <w:adjustRightInd w:val="0"/>
                    <w:spacing w:line="300" w:lineRule="exact"/>
                    <w:jc w:val="center"/>
                    <w:rPr>
                      <w:color w:val="auto"/>
                      <w:szCs w:val="21"/>
                    </w:rPr>
                  </w:pPr>
                  <w:r>
                    <w:rPr>
                      <w:color w:val="auto"/>
                      <w:szCs w:val="21"/>
                    </w:rPr>
                    <w:t>计量单位</w:t>
                  </w:r>
                </w:p>
              </w:tc>
              <w:tc>
                <w:tcPr>
                  <w:tcW w:w="1381" w:type="dxa"/>
                  <w:noWrap w:val="0"/>
                  <w:vAlign w:val="center"/>
                </w:tcPr>
                <w:p>
                  <w:pPr>
                    <w:adjustRightInd w:val="0"/>
                    <w:spacing w:line="300" w:lineRule="exact"/>
                    <w:jc w:val="center"/>
                    <w:rPr>
                      <w:color w:val="auto"/>
                      <w:szCs w:val="21"/>
                    </w:rPr>
                  </w:pPr>
                  <w:r>
                    <w:rPr>
                      <w:color w:val="auto"/>
                      <w:szCs w:val="21"/>
                    </w:rPr>
                    <w:t>用水量m</w:t>
                  </w:r>
                  <w:r>
                    <w:rPr>
                      <w:color w:val="auto"/>
                      <w:szCs w:val="21"/>
                      <w:vertAlign w:val="superscript"/>
                    </w:rPr>
                    <w:t>3</w:t>
                  </w:r>
                  <w:r>
                    <w:rPr>
                      <w:color w:val="auto"/>
                      <w:szCs w:val="21"/>
                    </w:rPr>
                    <w:t>/d</w:t>
                  </w:r>
                </w:p>
              </w:tc>
              <w:tc>
                <w:tcPr>
                  <w:tcW w:w="1410" w:type="dxa"/>
                  <w:noWrap w:val="0"/>
                  <w:vAlign w:val="center"/>
                </w:tcPr>
                <w:p>
                  <w:pPr>
                    <w:adjustRightInd w:val="0"/>
                    <w:spacing w:line="300" w:lineRule="exact"/>
                    <w:jc w:val="center"/>
                    <w:rPr>
                      <w:color w:val="auto"/>
                      <w:szCs w:val="21"/>
                    </w:rPr>
                  </w:pPr>
                  <w:r>
                    <w:rPr>
                      <w:color w:val="auto"/>
                      <w:szCs w:val="21"/>
                    </w:rPr>
                    <w:t>损失量m</w:t>
                  </w:r>
                  <w:r>
                    <w:rPr>
                      <w:color w:val="auto"/>
                      <w:szCs w:val="21"/>
                      <w:vertAlign w:val="superscript"/>
                    </w:rPr>
                    <w:t>3</w:t>
                  </w:r>
                  <w:r>
                    <w:rPr>
                      <w:color w:val="auto"/>
                      <w:szCs w:val="21"/>
                    </w:rPr>
                    <w:t>/d</w:t>
                  </w:r>
                </w:p>
              </w:tc>
              <w:tc>
                <w:tcPr>
                  <w:tcW w:w="1336" w:type="dxa"/>
                  <w:noWrap w:val="0"/>
                  <w:vAlign w:val="center"/>
                </w:tcPr>
                <w:p>
                  <w:pPr>
                    <w:adjustRightInd w:val="0"/>
                    <w:spacing w:line="300" w:lineRule="exact"/>
                    <w:jc w:val="center"/>
                    <w:rPr>
                      <w:color w:val="auto"/>
                      <w:szCs w:val="21"/>
                    </w:rPr>
                  </w:pPr>
                  <w:r>
                    <w:rPr>
                      <w:color w:val="auto"/>
                      <w:szCs w:val="21"/>
                    </w:rPr>
                    <w:t>产生量m</w:t>
                  </w:r>
                  <w:r>
                    <w:rPr>
                      <w:color w:val="auto"/>
                      <w:szCs w:val="21"/>
                      <w:vertAlign w:val="superscript"/>
                    </w:rPr>
                    <w:t>3</w:t>
                  </w:r>
                  <w:r>
                    <w:rPr>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9" w:type="dxa"/>
                  <w:noWrap w:val="0"/>
                  <w:vAlign w:val="center"/>
                </w:tcPr>
                <w:p>
                  <w:pPr>
                    <w:adjustRightInd w:val="0"/>
                    <w:spacing w:line="300" w:lineRule="exact"/>
                    <w:jc w:val="center"/>
                    <w:rPr>
                      <w:color w:val="auto"/>
                      <w:szCs w:val="21"/>
                    </w:rPr>
                  </w:pPr>
                  <w:r>
                    <w:rPr>
                      <w:color w:val="auto"/>
                      <w:szCs w:val="21"/>
                    </w:rPr>
                    <w:t>1</w:t>
                  </w:r>
                </w:p>
              </w:tc>
              <w:tc>
                <w:tcPr>
                  <w:tcW w:w="1925" w:type="dxa"/>
                  <w:noWrap w:val="0"/>
                  <w:vAlign w:val="center"/>
                </w:tcPr>
                <w:p>
                  <w:pPr>
                    <w:adjustRightInd w:val="0"/>
                    <w:spacing w:line="300" w:lineRule="exact"/>
                    <w:jc w:val="center"/>
                    <w:rPr>
                      <w:color w:val="auto"/>
                      <w:szCs w:val="21"/>
                    </w:rPr>
                  </w:pPr>
                  <w:r>
                    <w:rPr>
                      <w:color w:val="auto"/>
                      <w:szCs w:val="21"/>
                    </w:rPr>
                    <w:t>住院病人</w:t>
                  </w:r>
                </w:p>
              </w:tc>
              <w:tc>
                <w:tcPr>
                  <w:tcW w:w="1699" w:type="dxa"/>
                  <w:noWrap w:val="0"/>
                  <w:vAlign w:val="center"/>
                </w:tcPr>
                <w:p>
                  <w:pPr>
                    <w:adjustRightInd w:val="0"/>
                    <w:spacing w:line="300" w:lineRule="exact"/>
                    <w:jc w:val="center"/>
                    <w:rPr>
                      <w:color w:val="auto"/>
                      <w:szCs w:val="21"/>
                    </w:rPr>
                  </w:pPr>
                  <w:r>
                    <w:rPr>
                      <w:rFonts w:hint="eastAsia"/>
                      <w:color w:val="auto"/>
                      <w:szCs w:val="21"/>
                      <w:lang w:val="en-US" w:eastAsia="zh-CN"/>
                    </w:rPr>
                    <w:t>180</w:t>
                  </w:r>
                  <w:r>
                    <w:rPr>
                      <w:color w:val="auto"/>
                      <w:szCs w:val="21"/>
                    </w:rPr>
                    <w:t>L/床·天</w:t>
                  </w:r>
                </w:p>
              </w:tc>
              <w:tc>
                <w:tcPr>
                  <w:tcW w:w="1381"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36</w:t>
                  </w:r>
                </w:p>
              </w:tc>
              <w:tc>
                <w:tcPr>
                  <w:tcW w:w="1410"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7.2</w:t>
                  </w:r>
                </w:p>
              </w:tc>
              <w:tc>
                <w:tcPr>
                  <w:tcW w:w="1336"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9" w:type="dxa"/>
                  <w:noWrap w:val="0"/>
                  <w:vAlign w:val="center"/>
                </w:tcPr>
                <w:p>
                  <w:pPr>
                    <w:adjustRightInd w:val="0"/>
                    <w:spacing w:line="300" w:lineRule="exact"/>
                    <w:jc w:val="center"/>
                    <w:rPr>
                      <w:color w:val="auto"/>
                      <w:szCs w:val="21"/>
                    </w:rPr>
                  </w:pPr>
                  <w:r>
                    <w:rPr>
                      <w:color w:val="auto"/>
                      <w:szCs w:val="21"/>
                    </w:rPr>
                    <w:t>3</w:t>
                  </w:r>
                </w:p>
              </w:tc>
              <w:tc>
                <w:tcPr>
                  <w:tcW w:w="1925" w:type="dxa"/>
                  <w:noWrap w:val="0"/>
                  <w:vAlign w:val="center"/>
                </w:tcPr>
                <w:p>
                  <w:pPr>
                    <w:adjustRightInd w:val="0"/>
                    <w:spacing w:line="300" w:lineRule="exact"/>
                    <w:jc w:val="center"/>
                    <w:rPr>
                      <w:color w:val="auto"/>
                      <w:szCs w:val="21"/>
                    </w:rPr>
                  </w:pPr>
                  <w:r>
                    <w:rPr>
                      <w:color w:val="auto"/>
                      <w:szCs w:val="21"/>
                    </w:rPr>
                    <w:t>门诊</w:t>
                  </w:r>
                </w:p>
              </w:tc>
              <w:tc>
                <w:tcPr>
                  <w:tcW w:w="1699" w:type="dxa"/>
                  <w:noWrap w:val="0"/>
                  <w:vAlign w:val="center"/>
                </w:tcPr>
                <w:p>
                  <w:pPr>
                    <w:adjustRightInd w:val="0"/>
                    <w:spacing w:line="300" w:lineRule="exact"/>
                    <w:jc w:val="center"/>
                    <w:rPr>
                      <w:color w:val="auto"/>
                      <w:szCs w:val="21"/>
                    </w:rPr>
                  </w:pPr>
                  <w:r>
                    <w:rPr>
                      <w:rFonts w:hint="eastAsia"/>
                      <w:color w:val="auto"/>
                      <w:szCs w:val="21"/>
                      <w:lang w:val="en-US" w:eastAsia="zh-CN"/>
                    </w:rPr>
                    <w:t>12</w:t>
                  </w:r>
                  <w:r>
                    <w:rPr>
                      <w:color w:val="auto"/>
                      <w:szCs w:val="21"/>
                    </w:rPr>
                    <w:t>L/人·次</w:t>
                  </w:r>
                </w:p>
              </w:tc>
              <w:tc>
                <w:tcPr>
                  <w:tcW w:w="1381"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1.2</w:t>
                  </w:r>
                </w:p>
              </w:tc>
              <w:tc>
                <w:tcPr>
                  <w:tcW w:w="1410"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0.24</w:t>
                  </w:r>
                </w:p>
              </w:tc>
              <w:tc>
                <w:tcPr>
                  <w:tcW w:w="1336"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9" w:type="dxa"/>
                  <w:noWrap w:val="0"/>
                  <w:vAlign w:val="center"/>
                </w:tcPr>
                <w:p>
                  <w:pPr>
                    <w:adjustRightInd w:val="0"/>
                    <w:spacing w:line="300" w:lineRule="exact"/>
                    <w:jc w:val="center"/>
                    <w:rPr>
                      <w:color w:val="auto"/>
                      <w:szCs w:val="21"/>
                    </w:rPr>
                  </w:pPr>
                  <w:r>
                    <w:rPr>
                      <w:color w:val="auto"/>
                      <w:szCs w:val="21"/>
                    </w:rPr>
                    <w:t>4</w:t>
                  </w:r>
                </w:p>
              </w:tc>
              <w:tc>
                <w:tcPr>
                  <w:tcW w:w="1925" w:type="dxa"/>
                  <w:noWrap w:val="0"/>
                  <w:vAlign w:val="center"/>
                </w:tcPr>
                <w:p>
                  <w:pPr>
                    <w:adjustRightInd w:val="0"/>
                    <w:spacing w:line="300" w:lineRule="exact"/>
                    <w:jc w:val="center"/>
                    <w:rPr>
                      <w:color w:val="auto"/>
                      <w:szCs w:val="21"/>
                    </w:rPr>
                  </w:pPr>
                  <w:r>
                    <w:rPr>
                      <w:color w:val="auto"/>
                      <w:szCs w:val="21"/>
                    </w:rPr>
                    <w:t>医护人员</w:t>
                  </w:r>
                </w:p>
              </w:tc>
              <w:tc>
                <w:tcPr>
                  <w:tcW w:w="1699" w:type="dxa"/>
                  <w:noWrap w:val="0"/>
                  <w:vAlign w:val="center"/>
                </w:tcPr>
                <w:p>
                  <w:pPr>
                    <w:adjustRightInd w:val="0"/>
                    <w:spacing w:line="300" w:lineRule="exact"/>
                    <w:jc w:val="center"/>
                    <w:rPr>
                      <w:color w:val="auto"/>
                      <w:szCs w:val="21"/>
                    </w:rPr>
                  </w:pPr>
                  <w:r>
                    <w:rPr>
                      <w:rFonts w:hint="eastAsia"/>
                      <w:color w:val="auto"/>
                      <w:szCs w:val="21"/>
                      <w:lang w:val="en-US" w:eastAsia="zh-CN"/>
                    </w:rPr>
                    <w:t>150</w:t>
                  </w:r>
                  <w:r>
                    <w:rPr>
                      <w:color w:val="auto"/>
                      <w:szCs w:val="21"/>
                    </w:rPr>
                    <w:t>L/人·班</w:t>
                  </w:r>
                </w:p>
              </w:tc>
              <w:tc>
                <w:tcPr>
                  <w:tcW w:w="1381"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7.5</w:t>
                  </w:r>
                </w:p>
              </w:tc>
              <w:tc>
                <w:tcPr>
                  <w:tcW w:w="1410"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1.5</w:t>
                  </w:r>
                </w:p>
              </w:tc>
              <w:tc>
                <w:tcPr>
                  <w:tcW w:w="1336" w:type="dxa"/>
                  <w:noWrap w:val="0"/>
                  <w:vAlign w:val="center"/>
                </w:tcPr>
                <w:p>
                  <w:pPr>
                    <w:widowControl/>
                    <w:jc w:val="center"/>
                    <w:textAlignment w:val="center"/>
                    <w:rPr>
                      <w:rFonts w:hint="eastAsia" w:eastAsia="宋体"/>
                      <w:color w:val="auto"/>
                      <w:szCs w:val="21"/>
                      <w:lang w:val="en-US" w:eastAsia="zh-CN"/>
                    </w:rPr>
                  </w:pPr>
                  <w:r>
                    <w:rPr>
                      <w:rFonts w:hint="eastAsia"/>
                      <w:color w:val="auto"/>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9" w:type="dxa"/>
                  <w:noWrap w:val="0"/>
                  <w:vAlign w:val="center"/>
                </w:tcPr>
                <w:p>
                  <w:pPr>
                    <w:adjustRightInd w:val="0"/>
                    <w:spacing w:line="300" w:lineRule="exact"/>
                    <w:jc w:val="center"/>
                    <w:rPr>
                      <w:rFonts w:hint="eastAsia" w:eastAsia="宋体"/>
                      <w:color w:val="auto"/>
                      <w:szCs w:val="21"/>
                      <w:lang w:val="en-US" w:eastAsia="zh-CN"/>
                    </w:rPr>
                  </w:pPr>
                  <w:r>
                    <w:rPr>
                      <w:rFonts w:hint="eastAsia"/>
                      <w:color w:val="auto"/>
                      <w:szCs w:val="21"/>
                      <w:lang w:val="en-US" w:eastAsia="zh-CN"/>
                    </w:rPr>
                    <w:t>5</w:t>
                  </w:r>
                </w:p>
              </w:tc>
              <w:tc>
                <w:tcPr>
                  <w:tcW w:w="1925" w:type="dxa"/>
                  <w:noWrap w:val="0"/>
                  <w:vAlign w:val="center"/>
                </w:tcPr>
                <w:p>
                  <w:pPr>
                    <w:adjustRightInd w:val="0"/>
                    <w:spacing w:line="300" w:lineRule="exact"/>
                    <w:jc w:val="center"/>
                    <w:rPr>
                      <w:rFonts w:hint="eastAsia" w:eastAsia="宋体"/>
                      <w:color w:val="auto"/>
                      <w:szCs w:val="21"/>
                      <w:lang w:val="en-US" w:eastAsia="zh-CN"/>
                    </w:rPr>
                  </w:pPr>
                  <w:r>
                    <w:rPr>
                      <w:rFonts w:hint="eastAsia"/>
                      <w:color w:val="auto"/>
                      <w:szCs w:val="21"/>
                      <w:lang w:val="en-US" w:eastAsia="zh-CN"/>
                    </w:rPr>
                    <w:t>食堂</w:t>
                  </w:r>
                </w:p>
              </w:tc>
              <w:tc>
                <w:tcPr>
                  <w:tcW w:w="1699" w:type="dxa"/>
                  <w:noWrap w:val="0"/>
                  <w:vAlign w:val="center"/>
                </w:tcPr>
                <w:p>
                  <w:pPr>
                    <w:adjustRightInd w:val="0"/>
                    <w:spacing w:line="300" w:lineRule="exact"/>
                    <w:jc w:val="center"/>
                    <w:rPr>
                      <w:rFonts w:hint="eastAsia"/>
                      <w:color w:val="auto"/>
                      <w:szCs w:val="21"/>
                      <w:lang w:val="en-US" w:eastAsia="zh-CN"/>
                    </w:rPr>
                  </w:pPr>
                  <w:r>
                    <w:rPr>
                      <w:rFonts w:hint="eastAsia" w:cs="Times New Roman"/>
                      <w:b w:val="0"/>
                      <w:bCs w:val="0"/>
                      <w:color w:val="auto"/>
                      <w:sz w:val="21"/>
                      <w:szCs w:val="21"/>
                      <w:lang w:val="en-US" w:eastAsia="zh-CN"/>
                    </w:rPr>
                    <w:t>16m</w:t>
                  </w:r>
                  <w:r>
                    <w:rPr>
                      <w:rFonts w:hint="eastAsia" w:cs="Times New Roman"/>
                      <w:b w:val="0"/>
                      <w:bCs w:val="0"/>
                      <w:color w:val="auto"/>
                      <w:sz w:val="21"/>
                      <w:szCs w:val="21"/>
                      <w:vertAlign w:val="superscript"/>
                      <w:lang w:val="en-US" w:eastAsia="zh-CN"/>
                    </w:rPr>
                    <w:t>3</w:t>
                  </w:r>
                  <w:r>
                    <w:rPr>
                      <w:rFonts w:hint="eastAsia" w:cs="Times New Roman"/>
                      <w:b w:val="0"/>
                      <w:bCs w:val="0"/>
                      <w:color w:val="auto"/>
                      <w:sz w:val="21"/>
                      <w:szCs w:val="21"/>
                      <w:lang w:val="en-US" w:eastAsia="zh-CN"/>
                    </w:rPr>
                    <w:t>/（m</w:t>
                  </w:r>
                  <w:r>
                    <w:rPr>
                      <w:rFonts w:hint="eastAsia" w:cs="Times New Roman"/>
                      <w:b w:val="0"/>
                      <w:bCs w:val="0"/>
                      <w:color w:val="auto"/>
                      <w:sz w:val="21"/>
                      <w:szCs w:val="21"/>
                      <w:vertAlign w:val="superscript"/>
                      <w:lang w:val="en-US" w:eastAsia="zh-CN"/>
                    </w:rPr>
                    <w:t>2</w:t>
                  </w:r>
                  <w:r>
                    <w:rPr>
                      <w:rFonts w:hint="eastAsia" w:cs="Times New Roman"/>
                      <w:b w:val="0"/>
                      <w:bCs w:val="0"/>
                      <w:color w:val="auto"/>
                      <w:sz w:val="21"/>
                      <w:szCs w:val="21"/>
                      <w:lang w:val="en-US" w:eastAsia="zh-CN"/>
                    </w:rPr>
                    <w:t>·a）</w:t>
                  </w:r>
                </w:p>
              </w:tc>
              <w:tc>
                <w:tcPr>
                  <w:tcW w:w="1381" w:type="dxa"/>
                  <w:noWrap w:val="0"/>
                  <w:vAlign w:val="center"/>
                </w:tcPr>
                <w:p>
                  <w:pPr>
                    <w:widowControl/>
                    <w:jc w:val="center"/>
                    <w:textAlignment w:val="center"/>
                    <w:rPr>
                      <w:rFonts w:hint="default"/>
                      <w:color w:val="auto"/>
                      <w:szCs w:val="21"/>
                      <w:lang w:val="en-US" w:eastAsia="zh-CN"/>
                    </w:rPr>
                  </w:pPr>
                  <w:r>
                    <w:rPr>
                      <w:rFonts w:hint="eastAsia"/>
                      <w:color w:val="auto"/>
                      <w:szCs w:val="21"/>
                      <w:lang w:val="en-US" w:eastAsia="zh-CN"/>
                    </w:rPr>
                    <w:t>5.26</w:t>
                  </w:r>
                </w:p>
              </w:tc>
              <w:tc>
                <w:tcPr>
                  <w:tcW w:w="1410" w:type="dxa"/>
                  <w:noWrap w:val="0"/>
                  <w:vAlign w:val="center"/>
                </w:tcPr>
                <w:p>
                  <w:pPr>
                    <w:widowControl/>
                    <w:jc w:val="center"/>
                    <w:textAlignment w:val="center"/>
                    <w:rPr>
                      <w:rFonts w:hint="default"/>
                      <w:color w:val="auto"/>
                      <w:szCs w:val="21"/>
                      <w:lang w:val="en-US" w:eastAsia="zh-CN"/>
                    </w:rPr>
                  </w:pPr>
                  <w:r>
                    <w:rPr>
                      <w:rFonts w:hint="eastAsia"/>
                      <w:color w:val="auto"/>
                      <w:szCs w:val="21"/>
                      <w:lang w:val="en-US" w:eastAsia="zh-CN"/>
                    </w:rPr>
                    <w:t>1.052</w:t>
                  </w:r>
                </w:p>
              </w:tc>
              <w:tc>
                <w:tcPr>
                  <w:tcW w:w="1336" w:type="dxa"/>
                  <w:noWrap w:val="0"/>
                  <w:vAlign w:val="center"/>
                </w:tcPr>
                <w:p>
                  <w:pPr>
                    <w:widowControl/>
                    <w:jc w:val="center"/>
                    <w:textAlignment w:val="center"/>
                    <w:rPr>
                      <w:rFonts w:hint="default"/>
                      <w:color w:val="auto"/>
                      <w:szCs w:val="21"/>
                      <w:lang w:val="en-US" w:eastAsia="zh-CN"/>
                    </w:rPr>
                  </w:pPr>
                  <w:r>
                    <w:rPr>
                      <w:rFonts w:hint="eastAsia"/>
                      <w:color w:val="auto"/>
                      <w:szCs w:val="21"/>
                      <w:lang w:val="en-US" w:eastAsia="zh-CN"/>
                    </w:rPr>
                    <w:t>4.208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584" w:type="dxa"/>
                  <w:gridSpan w:val="2"/>
                  <w:noWrap w:val="0"/>
                  <w:vAlign w:val="center"/>
                </w:tcPr>
                <w:p>
                  <w:pPr>
                    <w:widowControl/>
                    <w:jc w:val="center"/>
                    <w:textAlignment w:val="center"/>
                    <w:rPr>
                      <w:color w:val="auto"/>
                      <w:szCs w:val="21"/>
                    </w:rPr>
                  </w:pPr>
                  <w:r>
                    <w:rPr>
                      <w:color w:val="auto"/>
                      <w:szCs w:val="21"/>
                    </w:rPr>
                    <w:t>合计</w:t>
                  </w:r>
                </w:p>
              </w:tc>
              <w:tc>
                <w:tcPr>
                  <w:tcW w:w="1699" w:type="dxa"/>
                  <w:noWrap w:val="0"/>
                  <w:vAlign w:val="center"/>
                </w:tcPr>
                <w:p>
                  <w:pPr>
                    <w:widowControl/>
                    <w:jc w:val="center"/>
                    <w:textAlignment w:val="center"/>
                    <w:rPr>
                      <w:color w:val="auto"/>
                      <w:szCs w:val="21"/>
                    </w:rPr>
                  </w:pPr>
                  <w:r>
                    <w:rPr>
                      <w:color w:val="auto"/>
                      <w:szCs w:val="21"/>
                    </w:rPr>
                    <w:t>/</w:t>
                  </w:r>
                </w:p>
              </w:tc>
              <w:tc>
                <w:tcPr>
                  <w:tcW w:w="1381"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49.96</w:t>
                  </w:r>
                </w:p>
              </w:tc>
              <w:tc>
                <w:tcPr>
                  <w:tcW w:w="1410"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9.992</w:t>
                  </w:r>
                </w:p>
              </w:tc>
              <w:tc>
                <w:tcPr>
                  <w:tcW w:w="1336" w:type="dxa"/>
                  <w:noWrap w:val="0"/>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39.968</w:t>
                  </w:r>
                </w:p>
              </w:tc>
            </w:tr>
          </w:tbl>
          <w:p>
            <w:pPr>
              <w:jc w:val="center"/>
              <w:rPr>
                <w:b/>
                <w:bCs/>
                <w:color w:val="auto"/>
                <w:szCs w:val="21"/>
              </w:rPr>
            </w:pPr>
            <w:r>
              <w:rPr>
                <w:b/>
                <w:bCs/>
                <w:color w:val="auto"/>
                <w:szCs w:val="21"/>
              </w:rPr>
              <w:object>
                <v:shape id="_x0000_i1025" o:spt="75" type="#_x0000_t75" style="height:204.65pt;width:420.95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r>
              <w:rPr>
                <w:b/>
                <w:bCs/>
                <w:color w:val="auto"/>
                <w:szCs w:val="21"/>
              </w:rPr>
              <w:t>图</w:t>
            </w:r>
            <w:r>
              <w:rPr>
                <w:rFonts w:hint="eastAsia"/>
                <w:b/>
                <w:bCs/>
                <w:color w:val="auto"/>
                <w:szCs w:val="21"/>
              </w:rPr>
              <w:t>2-1</w:t>
            </w:r>
            <w:r>
              <w:rPr>
                <w:b/>
                <w:bCs/>
                <w:color w:val="auto"/>
                <w:szCs w:val="21"/>
              </w:rPr>
              <w:t xml:space="preserve">  </w:t>
            </w:r>
            <w:r>
              <w:rPr>
                <w:rFonts w:hint="eastAsia"/>
                <w:b/>
                <w:bCs/>
                <w:color w:val="auto"/>
                <w:szCs w:val="21"/>
              </w:rPr>
              <w:t xml:space="preserve">  </w:t>
            </w:r>
            <w:r>
              <w:rPr>
                <w:b/>
                <w:bCs/>
                <w:color w:val="auto"/>
                <w:szCs w:val="21"/>
              </w:rPr>
              <w:t>本项目水平衡图（单位：m</w:t>
            </w:r>
            <w:r>
              <w:rPr>
                <w:b/>
                <w:bCs/>
                <w:color w:val="auto"/>
                <w:szCs w:val="21"/>
                <w:vertAlign w:val="superscript"/>
              </w:rPr>
              <w:t>3</w:t>
            </w:r>
            <w:r>
              <w:rPr>
                <w:b/>
                <w:bCs/>
                <w:color w:val="auto"/>
                <w:szCs w:val="21"/>
              </w:rPr>
              <w:t>/d）</w:t>
            </w:r>
          </w:p>
          <w:p>
            <w:pPr>
              <w:adjustRightInd w:val="0"/>
              <w:snapToGrid w:val="0"/>
              <w:spacing w:line="360" w:lineRule="auto"/>
              <w:ind w:firstLine="480" w:firstLineChars="200"/>
              <w:rPr>
                <w:rFonts w:hint="eastAsia"/>
                <w:bCs/>
                <w:color w:val="auto"/>
                <w:sz w:val="24"/>
                <w:szCs w:val="24"/>
              </w:rPr>
            </w:pPr>
            <w:r>
              <w:rPr>
                <w:rFonts w:hint="eastAsia"/>
                <w:bCs/>
                <w:color w:val="auto"/>
                <w:sz w:val="24"/>
                <w:szCs w:val="24"/>
              </w:rPr>
              <w:t>（3）供电</w:t>
            </w:r>
          </w:p>
          <w:p>
            <w:pPr>
              <w:adjustRightInd w:val="0"/>
              <w:snapToGrid w:val="0"/>
              <w:spacing w:line="360" w:lineRule="auto"/>
              <w:ind w:firstLine="480" w:firstLineChars="200"/>
              <w:rPr>
                <w:rFonts w:hint="eastAsia"/>
                <w:bCs/>
                <w:color w:val="auto"/>
                <w:sz w:val="24"/>
                <w:szCs w:val="24"/>
              </w:rPr>
            </w:pPr>
            <w:r>
              <w:rPr>
                <w:rFonts w:hint="eastAsia"/>
                <w:bCs/>
                <w:color w:val="auto"/>
                <w:sz w:val="24"/>
                <w:szCs w:val="24"/>
              </w:rPr>
              <w:t>本项目供电由市政供电管网供电，可满足项目用电需求。</w:t>
            </w:r>
          </w:p>
          <w:p>
            <w:pPr>
              <w:adjustRightInd w:val="0"/>
              <w:snapToGrid w:val="0"/>
              <w:spacing w:line="360" w:lineRule="auto"/>
              <w:ind w:firstLine="480" w:firstLineChars="200"/>
              <w:rPr>
                <w:bCs/>
                <w:color w:val="auto"/>
                <w:sz w:val="24"/>
                <w:szCs w:val="24"/>
              </w:rPr>
            </w:pPr>
            <w:r>
              <w:rPr>
                <w:rFonts w:hint="eastAsia"/>
                <w:bCs/>
                <w:color w:val="auto"/>
                <w:sz w:val="24"/>
                <w:szCs w:val="24"/>
              </w:rPr>
              <w:t>（4）供热及制冷</w:t>
            </w:r>
          </w:p>
          <w:p>
            <w:pPr>
              <w:adjustRightInd w:val="0"/>
              <w:snapToGrid w:val="0"/>
              <w:spacing w:line="360" w:lineRule="auto"/>
              <w:ind w:firstLine="480" w:firstLineChars="200"/>
              <w:rPr>
                <w:bCs/>
                <w:color w:val="auto"/>
                <w:sz w:val="24"/>
                <w:szCs w:val="24"/>
              </w:rPr>
            </w:pPr>
            <w:r>
              <w:rPr>
                <w:bCs/>
                <w:color w:val="auto"/>
                <w:sz w:val="24"/>
                <w:szCs w:val="24"/>
              </w:rPr>
              <w:t>本项目冬季供暖</w:t>
            </w:r>
            <w:r>
              <w:rPr>
                <w:rFonts w:hint="eastAsia"/>
                <w:bCs/>
                <w:color w:val="auto"/>
                <w:sz w:val="24"/>
                <w:szCs w:val="24"/>
              </w:rPr>
              <w:t>和夏季</w:t>
            </w:r>
            <w:r>
              <w:rPr>
                <w:bCs/>
                <w:color w:val="auto"/>
                <w:sz w:val="24"/>
                <w:szCs w:val="24"/>
              </w:rPr>
              <w:t>制冷</w:t>
            </w:r>
            <w:r>
              <w:rPr>
                <w:rFonts w:hint="eastAsia"/>
                <w:bCs/>
                <w:color w:val="auto"/>
                <w:sz w:val="24"/>
                <w:szCs w:val="24"/>
              </w:rPr>
              <w:t>均</w:t>
            </w:r>
            <w:r>
              <w:rPr>
                <w:bCs/>
                <w:color w:val="auto"/>
                <w:sz w:val="24"/>
                <w:szCs w:val="24"/>
              </w:rPr>
              <w:t>采用</w:t>
            </w:r>
            <w:r>
              <w:rPr>
                <w:rFonts w:hint="eastAsia"/>
                <w:bCs/>
                <w:color w:val="auto"/>
                <w:sz w:val="24"/>
                <w:szCs w:val="24"/>
              </w:rPr>
              <w:t>分体式空</w:t>
            </w:r>
            <w:r>
              <w:rPr>
                <w:bCs/>
                <w:color w:val="auto"/>
                <w:sz w:val="24"/>
                <w:szCs w:val="24"/>
              </w:rPr>
              <w:t>调。</w:t>
            </w:r>
          </w:p>
          <w:p>
            <w:pPr>
              <w:adjustRightInd w:val="0"/>
              <w:snapToGrid w:val="0"/>
              <w:spacing w:line="360" w:lineRule="auto"/>
              <w:ind w:firstLine="482" w:firstLineChars="200"/>
              <w:rPr>
                <w:b/>
                <w:color w:val="auto"/>
                <w:sz w:val="24"/>
                <w:szCs w:val="24"/>
              </w:rPr>
            </w:pPr>
            <w:r>
              <w:rPr>
                <w:rFonts w:hint="eastAsia"/>
                <w:b/>
                <w:color w:val="auto"/>
                <w:sz w:val="24"/>
                <w:szCs w:val="24"/>
              </w:rPr>
              <w:t>6</w:t>
            </w:r>
            <w:r>
              <w:rPr>
                <w:b/>
                <w:color w:val="auto"/>
                <w:sz w:val="24"/>
                <w:szCs w:val="24"/>
              </w:rPr>
              <w:t>、劳动定员及工作制度</w:t>
            </w:r>
          </w:p>
          <w:p>
            <w:pPr>
              <w:adjustRightInd w:val="0"/>
              <w:snapToGrid w:val="0"/>
              <w:spacing w:line="360" w:lineRule="auto"/>
              <w:ind w:firstLine="480" w:firstLineChars="200"/>
              <w:rPr>
                <w:rFonts w:hint="eastAsia" w:eastAsia="宋体"/>
                <w:bCs/>
                <w:color w:val="auto"/>
                <w:sz w:val="24"/>
                <w:szCs w:val="24"/>
                <w:lang w:eastAsia="zh-CN"/>
              </w:rPr>
            </w:pPr>
            <w:r>
              <w:rPr>
                <w:rFonts w:hint="eastAsia"/>
                <w:bCs/>
                <w:color w:val="auto"/>
                <w:sz w:val="24"/>
                <w:szCs w:val="24"/>
              </w:rPr>
              <w:t>本项目劳动定员共</w:t>
            </w:r>
            <w:r>
              <w:rPr>
                <w:rFonts w:hint="eastAsia"/>
                <w:bCs/>
                <w:color w:val="auto"/>
                <w:sz w:val="24"/>
                <w:szCs w:val="24"/>
                <w:lang w:val="en-US" w:eastAsia="zh-CN"/>
              </w:rPr>
              <w:t>50</w:t>
            </w:r>
            <w:r>
              <w:rPr>
                <w:rFonts w:hint="eastAsia"/>
                <w:bCs/>
                <w:color w:val="auto"/>
                <w:sz w:val="24"/>
                <w:szCs w:val="24"/>
              </w:rPr>
              <w:t>人，其中行政、后勤及管理人员6人</w:t>
            </w:r>
            <w:r>
              <w:rPr>
                <w:rFonts w:hint="eastAsia"/>
                <w:bCs/>
                <w:color w:val="auto"/>
                <w:sz w:val="24"/>
                <w:szCs w:val="24"/>
                <w:lang w:eastAsia="zh-CN"/>
              </w:rPr>
              <w:t>，</w:t>
            </w:r>
            <w:r>
              <w:rPr>
                <w:rFonts w:hint="eastAsia"/>
                <w:bCs/>
                <w:color w:val="auto"/>
                <w:sz w:val="24"/>
                <w:szCs w:val="24"/>
                <w:lang w:val="en-US" w:eastAsia="zh-CN"/>
              </w:rPr>
              <w:t>住院部12人</w:t>
            </w:r>
            <w:r>
              <w:rPr>
                <w:rFonts w:hint="eastAsia"/>
                <w:bCs/>
                <w:color w:val="auto"/>
                <w:sz w:val="24"/>
                <w:szCs w:val="24"/>
              </w:rPr>
              <w:t>。全年工作365天，采取每天8小时工作制度，住院部</w:t>
            </w:r>
            <w:r>
              <w:rPr>
                <w:rFonts w:hint="eastAsia"/>
                <w:bCs/>
                <w:color w:val="auto"/>
                <w:sz w:val="24"/>
                <w:szCs w:val="24"/>
                <w:lang w:val="en-US" w:eastAsia="zh-CN"/>
              </w:rPr>
              <w:t>分三组</w:t>
            </w:r>
            <w:r>
              <w:rPr>
                <w:rFonts w:hint="eastAsia"/>
                <w:bCs/>
                <w:color w:val="auto"/>
                <w:sz w:val="24"/>
                <w:szCs w:val="24"/>
              </w:rPr>
              <w:t>采取全天24小时3班倒</w:t>
            </w:r>
            <w:r>
              <w:rPr>
                <w:rFonts w:hint="eastAsia"/>
                <w:bCs/>
                <w:color w:val="auto"/>
                <w:sz w:val="24"/>
                <w:szCs w:val="24"/>
                <w:lang w:eastAsia="zh-CN"/>
              </w:rPr>
              <w:t>。</w:t>
            </w:r>
          </w:p>
          <w:p>
            <w:pPr>
              <w:adjustRightInd w:val="0"/>
              <w:snapToGrid w:val="0"/>
              <w:spacing w:line="360" w:lineRule="auto"/>
              <w:ind w:firstLine="480" w:firstLineChars="200"/>
              <w:rPr>
                <w:rFonts w:hint="eastAsia"/>
                <w:bCs/>
                <w:color w:val="auto"/>
                <w:sz w:val="24"/>
                <w:szCs w:val="24"/>
              </w:rPr>
            </w:pPr>
          </w:p>
          <w:p>
            <w:pPr>
              <w:adjustRightInd w:val="0"/>
              <w:snapToGrid w:val="0"/>
              <w:spacing w:line="360" w:lineRule="auto"/>
              <w:ind w:firstLine="480" w:firstLineChars="200"/>
              <w:rPr>
                <w:rFonts w:hint="eastAsia"/>
                <w:bCs/>
                <w:color w:val="auto"/>
                <w:sz w:val="24"/>
                <w:szCs w:val="24"/>
              </w:rPr>
            </w:pPr>
          </w:p>
          <w:p>
            <w:pPr>
              <w:adjustRightInd w:val="0"/>
              <w:snapToGrid w:val="0"/>
              <w:spacing w:line="360" w:lineRule="auto"/>
              <w:ind w:firstLine="480" w:firstLineChars="200"/>
              <w:rPr>
                <w:rFonts w:hint="eastAsia"/>
                <w:bCs/>
                <w:color w:val="auto"/>
                <w:sz w:val="24"/>
                <w:szCs w:val="24"/>
              </w:rPr>
            </w:pPr>
          </w:p>
          <w:p>
            <w:pPr>
              <w:adjustRightInd w:val="0"/>
              <w:snapToGrid w:val="0"/>
              <w:spacing w:line="360" w:lineRule="auto"/>
              <w:ind w:firstLine="480" w:firstLineChars="200"/>
              <w:rPr>
                <w:rFonts w:hint="eastAsia"/>
                <w:bCs/>
                <w:color w:val="auto"/>
                <w:sz w:val="24"/>
                <w:szCs w:val="24"/>
              </w:rPr>
            </w:pPr>
          </w:p>
          <w:p>
            <w:pPr>
              <w:adjustRightInd w:val="0"/>
              <w:snapToGrid w:val="0"/>
              <w:spacing w:line="360" w:lineRule="auto"/>
              <w:ind w:firstLine="480" w:firstLineChars="200"/>
              <w:rPr>
                <w:rFonts w:hint="eastAsia"/>
                <w:bCs/>
                <w:color w:val="auto"/>
                <w:sz w:val="24"/>
                <w:szCs w:val="24"/>
              </w:rPr>
            </w:pPr>
          </w:p>
          <w:p>
            <w:pPr>
              <w:pStyle w:val="10"/>
              <w:rPr>
                <w:rFonts w:hint="eastAsia"/>
                <w:bCs/>
                <w:color w:val="auto"/>
                <w:sz w:val="24"/>
                <w:szCs w:val="24"/>
              </w:rPr>
            </w:pPr>
          </w:p>
          <w:p>
            <w:pPr>
              <w:rPr>
                <w:rFonts w:hint="eastAsia"/>
                <w:bCs/>
                <w:color w:val="auto"/>
                <w:sz w:val="24"/>
                <w:szCs w:val="24"/>
              </w:rPr>
            </w:pPr>
          </w:p>
          <w:p>
            <w:pPr>
              <w:pStyle w:val="10"/>
              <w:rPr>
                <w:rFonts w:hint="eastAsia"/>
                <w:bCs/>
                <w:color w:val="auto"/>
                <w:sz w:val="24"/>
                <w:szCs w:val="24"/>
              </w:rPr>
            </w:pPr>
          </w:p>
          <w:p>
            <w:pPr>
              <w:rPr>
                <w:rFonts w:hint="eastAsia"/>
                <w:bCs/>
                <w:color w:val="auto"/>
                <w:sz w:val="24"/>
                <w:szCs w:val="24"/>
              </w:rPr>
            </w:pPr>
          </w:p>
          <w:p>
            <w:pPr>
              <w:pStyle w:val="10"/>
              <w:rPr>
                <w:rFonts w:hint="eastAsia"/>
                <w:bCs/>
                <w:color w:val="auto"/>
                <w:sz w:val="24"/>
                <w:szCs w:val="24"/>
              </w:rPr>
            </w:pPr>
          </w:p>
          <w:p>
            <w:pPr>
              <w:rPr>
                <w:rFonts w:hint="eastAsia"/>
                <w:bCs/>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70" w:hRule="atLeast"/>
          <w:jc w:val="center"/>
        </w:trPr>
        <w:tc>
          <w:tcPr>
            <w:tcW w:w="424" w:type="dxa"/>
            <w:noWrap w:val="0"/>
            <w:vAlign w:val="center"/>
          </w:tcPr>
          <w:p>
            <w:pPr>
              <w:pStyle w:val="22"/>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工艺流程和产排污环节</w:t>
            </w:r>
          </w:p>
        </w:tc>
        <w:tc>
          <w:tcPr>
            <w:tcW w:w="8636" w:type="dxa"/>
            <w:noWrap w:val="0"/>
            <w:vAlign w:val="top"/>
          </w:tcPr>
          <w:p>
            <w:pPr>
              <w:adjustRightInd w:val="0"/>
              <w:snapToGrid w:val="0"/>
              <w:spacing w:line="360" w:lineRule="auto"/>
              <w:ind w:firstLine="482" w:firstLineChars="200"/>
              <w:rPr>
                <w:b/>
                <w:color w:val="auto"/>
                <w:sz w:val="24"/>
                <w:szCs w:val="24"/>
              </w:rPr>
            </w:pPr>
            <w:r>
              <w:rPr>
                <w:b/>
                <w:color w:val="auto"/>
                <w:sz w:val="24"/>
                <w:szCs w:val="24"/>
              </w:rPr>
              <w:t>一、施工期</w:t>
            </w:r>
          </w:p>
          <w:p>
            <w:pPr>
              <w:spacing w:line="360" w:lineRule="auto"/>
              <w:ind w:firstLine="480" w:firstLineChars="200"/>
              <w:rPr>
                <w:color w:val="auto"/>
                <w:sz w:val="24"/>
                <w:szCs w:val="24"/>
              </w:rPr>
            </w:pPr>
            <w:bookmarkStart w:id="3" w:name="_Hlk523325143"/>
            <w:r>
              <w:rPr>
                <w:color w:val="auto"/>
                <w:sz w:val="24"/>
                <w:szCs w:val="24"/>
              </w:rPr>
              <w:t>本项目租赁现有商用房，不涉及主体结构的建设，施工期主要为室内装修和</w:t>
            </w:r>
            <w:r>
              <w:rPr>
                <w:rFonts w:hint="eastAsia"/>
                <w:color w:val="auto"/>
                <w:sz w:val="24"/>
                <w:szCs w:val="24"/>
                <w:lang w:val="en-US" w:eastAsia="zh-CN"/>
              </w:rPr>
              <w:t>医疗</w:t>
            </w:r>
            <w:r>
              <w:rPr>
                <w:color w:val="auto"/>
                <w:sz w:val="24"/>
                <w:szCs w:val="24"/>
              </w:rPr>
              <w:t>设备及环保设备的安装。</w:t>
            </w:r>
            <w:bookmarkEnd w:id="3"/>
          </w:p>
          <w:p>
            <w:pPr>
              <w:adjustRightInd w:val="0"/>
              <w:snapToGrid w:val="0"/>
              <w:spacing w:line="360" w:lineRule="auto"/>
              <w:ind w:firstLine="482" w:firstLineChars="200"/>
              <w:rPr>
                <w:b/>
                <w:color w:val="auto"/>
                <w:sz w:val="24"/>
                <w:szCs w:val="24"/>
              </w:rPr>
            </w:pPr>
            <w:r>
              <w:rPr>
                <w:b/>
                <w:color w:val="auto"/>
                <w:sz w:val="24"/>
                <w:szCs w:val="24"/>
              </w:rPr>
              <w:t>二、营运期</w:t>
            </w:r>
          </w:p>
          <w:p>
            <w:pPr>
              <w:adjustRightInd w:val="0"/>
              <w:snapToGrid w:val="0"/>
              <w:ind w:firstLine="480" w:firstLineChars="200"/>
              <w:rPr>
                <w:bCs/>
                <w:color w:val="auto"/>
                <w:sz w:val="24"/>
                <w:szCs w:val="24"/>
              </w:rPr>
            </w:pPr>
            <w:r>
              <w:rPr>
                <w:bCs/>
                <w:color w:val="auto"/>
                <w:sz w:val="24"/>
                <w:szCs w:val="24"/>
              </w:rPr>
              <w:t>本项目运营期工艺流程及产污环节见图</w:t>
            </w:r>
            <w:r>
              <w:rPr>
                <w:rFonts w:hint="eastAsia"/>
                <w:bCs/>
                <w:color w:val="auto"/>
                <w:sz w:val="24"/>
                <w:szCs w:val="24"/>
              </w:rPr>
              <w:t>2-2</w:t>
            </w:r>
            <w:r>
              <w:rPr>
                <w:bCs/>
                <w:color w:val="auto"/>
                <w:sz w:val="24"/>
                <w:szCs w:val="24"/>
              </w:rPr>
              <w:t>所示。</w:t>
            </w:r>
          </w:p>
          <w:p>
            <w:pPr>
              <w:spacing w:line="360" w:lineRule="auto"/>
              <w:jc w:val="center"/>
              <w:rPr>
                <w:rFonts w:hint="eastAsia" w:eastAsia="宋体"/>
                <w:color w:val="auto"/>
                <w:szCs w:val="21"/>
                <w:lang w:eastAsia="zh-CN"/>
              </w:rPr>
            </w:pPr>
            <w:r>
              <w:rPr>
                <w:rFonts w:hint="eastAsia" w:eastAsia="宋体"/>
                <w:color w:val="auto"/>
                <w:szCs w:val="21"/>
                <w:lang w:eastAsia="zh-CN"/>
              </w:rPr>
              <w:drawing>
                <wp:inline distT="0" distB="0" distL="114300" distR="114300">
                  <wp:extent cx="5344795" cy="2935605"/>
                  <wp:effectExtent l="0" t="0" r="0" b="0"/>
                  <wp:docPr id="2"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wps"/>
                          <pic:cNvPicPr>
                            <a:picLocks noChangeAspect="1"/>
                          </pic:cNvPicPr>
                        </pic:nvPicPr>
                        <pic:blipFill>
                          <a:blip r:embed="rId12"/>
                          <a:stretch>
                            <a:fillRect/>
                          </a:stretch>
                        </pic:blipFill>
                        <pic:spPr>
                          <a:xfrm>
                            <a:off x="0" y="0"/>
                            <a:ext cx="5344795" cy="2935605"/>
                          </a:xfrm>
                          <a:prstGeom prst="rect">
                            <a:avLst/>
                          </a:prstGeom>
                        </pic:spPr>
                      </pic:pic>
                    </a:graphicData>
                  </a:graphic>
                </wp:inline>
              </w:drawing>
            </w:r>
          </w:p>
          <w:p>
            <w:pPr>
              <w:spacing w:line="360" w:lineRule="auto"/>
              <w:jc w:val="center"/>
              <w:rPr>
                <w:b/>
                <w:bCs/>
                <w:color w:val="auto"/>
                <w:szCs w:val="21"/>
              </w:rPr>
            </w:pPr>
            <w:r>
              <w:rPr>
                <w:b/>
                <w:bCs/>
                <w:color w:val="auto"/>
                <w:szCs w:val="21"/>
              </w:rPr>
              <w:t>图</w:t>
            </w:r>
            <w:r>
              <w:rPr>
                <w:rFonts w:hint="eastAsia"/>
                <w:b/>
                <w:bCs/>
                <w:color w:val="auto"/>
                <w:szCs w:val="21"/>
              </w:rPr>
              <w:t>2-2</w:t>
            </w:r>
            <w:r>
              <w:rPr>
                <w:b/>
                <w:bCs/>
                <w:color w:val="auto"/>
                <w:szCs w:val="21"/>
              </w:rPr>
              <w:t xml:space="preserve">  </w:t>
            </w:r>
            <w:r>
              <w:rPr>
                <w:rFonts w:hint="eastAsia"/>
                <w:b/>
                <w:bCs/>
                <w:color w:val="auto"/>
                <w:szCs w:val="21"/>
              </w:rPr>
              <w:t xml:space="preserve">  </w:t>
            </w:r>
            <w:r>
              <w:rPr>
                <w:b/>
                <w:bCs/>
                <w:color w:val="auto"/>
                <w:szCs w:val="21"/>
              </w:rPr>
              <w:t>项目运营期产污环节图</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项目运营期产生的污染因素包括废气、废水、噪声及固体废物。</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2" w:firstLineChars="200"/>
              <w:textAlignment w:val="auto"/>
              <w:rPr>
                <w:rFonts w:hint="eastAsia" w:cs="Times New Roman"/>
                <w:color w:val="auto"/>
                <w:sz w:val="24"/>
                <w:szCs w:val="24"/>
                <w:lang w:val="en-US" w:eastAsia="zh-CN"/>
              </w:rPr>
            </w:pPr>
            <w:r>
              <w:rPr>
                <w:rFonts w:hint="eastAsia" w:cs="Times New Roman"/>
                <w:b/>
                <w:bCs/>
                <w:color w:val="auto"/>
                <w:sz w:val="24"/>
                <w:szCs w:val="24"/>
                <w:lang w:val="en-US" w:eastAsia="zh-CN"/>
              </w:rPr>
              <w:t>工艺流程及产污环节简述：</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本项目运营期工艺流程及产污环节如下：</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①检验、诊断：入院患者进行检验、诊断。主要产生医疗废水、医疗废物以及检验废液。</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②住院、治疗、护理、康复：分为门诊治疗与住院治疗。主要产生医疗废水、医疗废物及生活垃圾。</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③医护人员工作：主要产生生活污水和生活垃圾。</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eastAsia="宋体" w:cs="Times New Roman"/>
                <w:bCs/>
                <w:color w:val="auto"/>
                <w:szCs w:val="21"/>
                <w:lang w:val="en-US" w:eastAsia="zh-CN"/>
              </w:rPr>
            </w:pPr>
            <w:r>
              <w:rPr>
                <w:rFonts w:hint="eastAsia" w:cs="Times New Roman"/>
                <w:color w:val="auto"/>
                <w:sz w:val="24"/>
                <w:szCs w:val="24"/>
                <w:lang w:val="en-US" w:eastAsia="zh-CN"/>
              </w:rPr>
              <w:t>④污水处理装置：本项目自建污水处理站，项目废水排入污水处理装置处理，处理达标后，排入化粪池，经市政污水管网排至西安市第四污水处理厂进一步处理。污水站运行过程中会产生少量恶臭与污泥、噪声。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8" w:hRule="atLeast"/>
          <w:jc w:val="center"/>
        </w:trPr>
        <w:tc>
          <w:tcPr>
            <w:tcW w:w="424" w:type="dxa"/>
            <w:noWrap w:val="0"/>
            <w:vAlign w:val="center"/>
          </w:tcPr>
          <w:p>
            <w:pPr>
              <w:pStyle w:val="22"/>
              <w:adjustRightInd w:val="0"/>
              <w:snapToGrid w:val="0"/>
              <w:spacing w:before="0" w:beforeAutospacing="0" w:after="0" w:afterAutospacing="0"/>
              <w:jc w:val="both"/>
              <w:rPr>
                <w:rFonts w:hint="default" w:ascii="Times New Roman" w:hAnsi="Times New Roman" w:cs="Times New Roman"/>
                <w:color w:val="auto"/>
                <w:sz w:val="21"/>
                <w:szCs w:val="21"/>
              </w:rPr>
            </w:pPr>
            <w:r>
              <w:rPr>
                <w:rFonts w:hint="default" w:ascii="Times New Roman" w:hAnsi="Times New Roman" w:cs="Times New Roman"/>
                <w:bCs/>
                <w:color w:val="auto"/>
                <w:kern w:val="2"/>
                <w:sz w:val="21"/>
                <w:szCs w:val="21"/>
              </w:rPr>
              <w:t>与项目有关的原有环境污染问题</w:t>
            </w:r>
          </w:p>
        </w:tc>
        <w:tc>
          <w:tcPr>
            <w:tcW w:w="8636"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r>
              <w:rPr>
                <w:rFonts w:hint="default" w:ascii="Times New Roman" w:hAnsi="Times New Roman" w:cs="Times New Roman"/>
                <w:color w:val="auto"/>
                <w:sz w:val="24"/>
                <w:szCs w:val="28"/>
                <w:lang w:val="en-US" w:eastAsia="zh-CN"/>
              </w:rPr>
              <w:t>本项目为新建项目，租赁商业楼</w:t>
            </w:r>
            <w:r>
              <w:rPr>
                <w:rFonts w:hint="eastAsia" w:cs="Times New Roman"/>
                <w:color w:val="auto"/>
                <w:sz w:val="24"/>
                <w:szCs w:val="28"/>
                <w:lang w:val="en-US" w:eastAsia="zh-CN"/>
              </w:rPr>
              <w:t>1-7</w:t>
            </w:r>
            <w:r>
              <w:rPr>
                <w:rFonts w:hint="default" w:ascii="Times New Roman" w:hAnsi="Times New Roman" w:cs="Times New Roman"/>
                <w:color w:val="auto"/>
                <w:sz w:val="24"/>
                <w:szCs w:val="28"/>
                <w:lang w:val="en-US" w:eastAsia="zh-CN"/>
              </w:rPr>
              <w:t>层进行医疗服务。根据现场勘查，现租用地为</w:t>
            </w:r>
            <w:r>
              <w:rPr>
                <w:rFonts w:hint="eastAsia" w:cs="Times New Roman"/>
                <w:color w:val="auto"/>
                <w:sz w:val="24"/>
                <w:szCs w:val="28"/>
                <w:lang w:val="en-US" w:eastAsia="zh-CN"/>
              </w:rPr>
              <w:t>原为西安市衡器厂办公楼，后经西安市雀笙酒店管理有限公司和西安市安定医院相继转租，截止本项目接手，场地内办公楼已腾空，无设备留存，</w:t>
            </w:r>
            <w:r>
              <w:rPr>
                <w:rFonts w:hint="default" w:ascii="Times New Roman" w:hAnsi="Times New Roman" w:cs="Times New Roman"/>
                <w:color w:val="auto"/>
                <w:sz w:val="24"/>
                <w:szCs w:val="28"/>
                <w:lang w:val="en-US" w:eastAsia="zh-CN"/>
              </w:rPr>
              <w:t>无原有污染问题</w:t>
            </w:r>
            <w:r>
              <w:rPr>
                <w:rFonts w:hint="eastAsia" w:cs="Times New Roman"/>
                <w:color w:val="auto"/>
                <w:sz w:val="24"/>
                <w:szCs w:val="28"/>
                <w:lang w:val="en-US" w:eastAsia="zh-CN"/>
              </w:rPr>
              <w:t>。</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8"/>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textAlignment w:val="auto"/>
              <w:rPr>
                <w:rFonts w:hint="default" w:ascii="Times New Roman" w:hAnsi="Times New Roman" w:cs="Times New Roman"/>
                <w:color w:val="auto"/>
                <w:lang w:val="en-US" w:eastAsia="zh-CN"/>
              </w:rPr>
            </w:pPr>
          </w:p>
        </w:tc>
      </w:tr>
    </w:tbl>
    <w:p>
      <w:pPr>
        <w:pStyle w:val="22"/>
        <w:jc w:val="center"/>
        <w:rPr>
          <w:rFonts w:hint="default" w:ascii="Times New Roman" w:hAnsi="Times New Roman" w:eastAsia="黑体" w:cs="Times New Roman"/>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15" w:lineRule="auto"/>
        <w:jc w:val="center"/>
        <w:textAlignment w:val="auto"/>
        <w:outlineLvl w:val="9"/>
        <w:rPr>
          <w:rFonts w:hint="default" w:ascii="Times New Roman" w:hAnsi="Times New Roman" w:eastAsia="黑体" w:cs="Times New Roman"/>
          <w:snapToGrid w:val="0"/>
          <w:color w:val="auto"/>
          <w:sz w:val="30"/>
          <w:szCs w:val="30"/>
        </w:rPr>
      </w:pPr>
    </w:p>
    <w:p>
      <w:pPr>
        <w:pStyle w:val="22"/>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三、区域环境质量现状、环境保护目标及评价标准</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18"/>
        <w:gridCol w:w="86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6" w:hRule="atLeast"/>
          <w:jc w:val="center"/>
        </w:trPr>
        <w:tc>
          <w:tcPr>
            <w:tcW w:w="800"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区域</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质量</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现状</w:t>
            </w:r>
          </w:p>
        </w:tc>
        <w:tc>
          <w:tcPr>
            <w:tcW w:w="8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val="en-US" w:eastAsia="zh-CN"/>
              </w:rPr>
              <w:t>环境空气质量</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1）区域环境质量达标情况</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olor w:val="auto"/>
                <w:sz w:val="24"/>
                <w:szCs w:val="24"/>
                <w:lang w:val="en-US" w:eastAsia="zh-CN"/>
              </w:rPr>
            </w:pPr>
            <w:r>
              <w:rPr>
                <w:rFonts w:hint="eastAsia"/>
                <w:color w:val="auto"/>
                <w:sz w:val="24"/>
                <w:szCs w:val="24"/>
                <w:lang w:val="en-US" w:eastAsia="zh-CN"/>
              </w:rPr>
              <w:t>本项目位于西安市莲湖区；根据大气功能区划，本项目所在地为二类功能区，环境空气质量标准执行《环境空气质量标准》（GB3095-</w:t>
            </w:r>
            <w:r>
              <w:rPr>
                <w:rFonts w:hint="eastAsia"/>
                <w:color w:val="auto"/>
                <w:sz w:val="24"/>
                <w:szCs w:val="24"/>
                <w:lang w:val="en-US" w:eastAsia="zh-CN"/>
              </w:rPr>
              <w:softHyphen/>
            </w:r>
            <w:r>
              <w:rPr>
                <w:rFonts w:hint="eastAsia"/>
                <w:color w:val="auto"/>
                <w:sz w:val="24"/>
                <w:szCs w:val="24"/>
                <w:lang w:val="en-US" w:eastAsia="zh-CN"/>
              </w:rPr>
              <w:t>2012）二级标准要求。</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olor w:val="auto"/>
                <w:sz w:val="24"/>
                <w:szCs w:val="24"/>
                <w:lang w:val="en-US" w:eastAsia="zh-CN"/>
              </w:rPr>
            </w:pPr>
            <w:r>
              <w:rPr>
                <w:rFonts w:hint="eastAsia"/>
                <w:color w:val="auto"/>
                <w:sz w:val="24"/>
                <w:szCs w:val="24"/>
                <w:lang w:val="en-US" w:eastAsia="zh-CN"/>
              </w:rPr>
              <w:t>根据陕西省生态环境厅办公室2022年1月13日发布的“环保快报（2021年12月及1~12月全省环境空气质量状况）”，莲湖区统计结果如下表。</w:t>
            </w:r>
          </w:p>
          <w:p>
            <w:pPr>
              <w:pStyle w:val="56"/>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w:t>
            </w:r>
            <w:r>
              <w:rPr>
                <w:rFonts w:hint="eastAsia" w:ascii="Times New Roman" w:hAnsi="Times New Roman" w:eastAsia="宋体" w:cs="Times New Roman"/>
                <w:color w:val="auto"/>
                <w:sz w:val="21"/>
                <w:szCs w:val="21"/>
                <w:highlight w:val="none"/>
                <w:lang w:val="en-US" w:eastAsia="zh-CN"/>
              </w:rPr>
              <w:t xml:space="preserve">3-1  </w:t>
            </w:r>
            <w:r>
              <w:rPr>
                <w:rFonts w:hint="default" w:ascii="Times New Roman" w:hAnsi="Times New Roman" w:eastAsia="宋体" w:cs="Times New Roman"/>
                <w:color w:val="auto"/>
                <w:sz w:val="21"/>
                <w:szCs w:val="21"/>
                <w:highlight w:val="none"/>
              </w:rPr>
              <w:t xml:space="preserve"> 区域环境质量现状评价表</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910"/>
              <w:gridCol w:w="2734"/>
              <w:gridCol w:w="1421"/>
              <w:gridCol w:w="1283"/>
              <w:gridCol w:w="1049"/>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541" w:type="pct"/>
                  <w:tcBorders>
                    <w:tl2br w:val="nil"/>
                    <w:tr2bl w:val="nil"/>
                  </w:tcBorders>
                  <w:noWrap w:val="0"/>
                  <w:vAlign w:val="center"/>
                </w:tcPr>
                <w:p>
                  <w:pPr>
                    <w:pStyle w:val="48"/>
                    <w:keepNext w:val="0"/>
                    <w:keepLines w:val="0"/>
                    <w:pageBreakBefore w:val="0"/>
                    <w:widowControl/>
                    <w:kinsoku/>
                    <w:wordWrap/>
                    <w:overflowPunct/>
                    <w:topLinePunct w:val="0"/>
                    <w:autoSpaceDE/>
                    <w:autoSpaceDN/>
                    <w:bidi w:val="0"/>
                    <w:adjustRightInd w:val="0"/>
                    <w:snapToGrid w:val="0"/>
                    <w:spacing w:beforeLines="0" w:afterLines="0" w:line="240" w:lineRule="auto"/>
                    <w:ind w:left="0" w:firstLine="0"/>
                    <w:jc w:val="both"/>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624" w:type="pct"/>
                  <w:tcBorders>
                    <w:tl2br w:val="nil"/>
                    <w:tr2bl w:val="nil"/>
                  </w:tcBorders>
                  <w:noWrap w:val="0"/>
                  <w:vAlign w:val="center"/>
                </w:tcPr>
                <w:p>
                  <w:pPr>
                    <w:pStyle w:val="48"/>
                    <w:keepNext w:val="0"/>
                    <w:keepLines w:val="0"/>
                    <w:pageBreakBefore w:val="0"/>
                    <w:widowControl/>
                    <w:kinsoku/>
                    <w:wordWrap/>
                    <w:overflowPunct/>
                    <w:topLinePunct w:val="0"/>
                    <w:autoSpaceDE/>
                    <w:autoSpaceDN/>
                    <w:bidi w:val="0"/>
                    <w:adjustRightInd w:val="0"/>
                    <w:snapToGrid w:val="0"/>
                    <w:spacing w:beforeLines="0" w:afterLines="0" w:line="240" w:lineRule="auto"/>
                    <w:ind w:left="0" w:firstLine="0"/>
                    <w:jc w:val="both"/>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年评价指标</w:t>
                  </w:r>
                </w:p>
              </w:tc>
              <w:tc>
                <w:tcPr>
                  <w:tcW w:w="844" w:type="pct"/>
                  <w:tcBorders>
                    <w:tl2br w:val="nil"/>
                    <w:tr2bl w:val="nil"/>
                  </w:tcBorders>
                  <w:noWrap w:val="0"/>
                  <w:vAlign w:val="center"/>
                </w:tcPr>
                <w:p>
                  <w:pPr>
                    <w:pStyle w:val="48"/>
                    <w:keepNext w:val="0"/>
                    <w:keepLines w:val="0"/>
                    <w:pageBreakBefore w:val="0"/>
                    <w:widowControl/>
                    <w:kinsoku/>
                    <w:wordWrap/>
                    <w:overflowPunct/>
                    <w:topLinePunct w:val="0"/>
                    <w:autoSpaceDE/>
                    <w:autoSpaceDN/>
                    <w:bidi w:val="0"/>
                    <w:adjustRightInd w:val="0"/>
                    <w:snapToGrid w:val="0"/>
                    <w:spacing w:beforeLines="0" w:afterLines="0" w:line="240" w:lineRule="auto"/>
                    <w:ind w:left="0" w:firstLine="0"/>
                    <w:jc w:val="both"/>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现状浓度μg/m</w:t>
                  </w:r>
                  <w:r>
                    <w:rPr>
                      <w:rFonts w:hint="default" w:ascii="Times New Roman" w:hAnsi="Times New Roman" w:eastAsia="宋体" w:cs="Times New Roman"/>
                      <w:b/>
                      <w:bCs/>
                      <w:color w:val="auto"/>
                      <w:sz w:val="21"/>
                      <w:szCs w:val="21"/>
                      <w:highlight w:val="none"/>
                      <w:vertAlign w:val="superscript"/>
                    </w:rPr>
                    <w:t>3</w:t>
                  </w:r>
                </w:p>
              </w:tc>
              <w:tc>
                <w:tcPr>
                  <w:tcW w:w="762" w:type="pct"/>
                  <w:tcBorders>
                    <w:tl2br w:val="nil"/>
                    <w:tr2bl w:val="nil"/>
                  </w:tcBorders>
                  <w:noWrap w:val="0"/>
                  <w:vAlign w:val="center"/>
                </w:tcPr>
                <w:p>
                  <w:pPr>
                    <w:pStyle w:val="48"/>
                    <w:keepNext w:val="0"/>
                    <w:keepLines w:val="0"/>
                    <w:pageBreakBefore w:val="0"/>
                    <w:widowControl/>
                    <w:kinsoku/>
                    <w:wordWrap/>
                    <w:overflowPunct/>
                    <w:topLinePunct w:val="0"/>
                    <w:autoSpaceDE/>
                    <w:autoSpaceDN/>
                    <w:bidi w:val="0"/>
                    <w:adjustRightInd w:val="0"/>
                    <w:snapToGrid w:val="0"/>
                    <w:spacing w:beforeLines="0" w:afterLines="0" w:line="240" w:lineRule="auto"/>
                    <w:ind w:left="0" w:firstLine="0"/>
                    <w:jc w:val="both"/>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标准值μg/m</w:t>
                  </w:r>
                  <w:r>
                    <w:rPr>
                      <w:rFonts w:hint="default" w:ascii="Times New Roman" w:hAnsi="Times New Roman" w:eastAsia="宋体" w:cs="Times New Roman"/>
                      <w:b/>
                      <w:bCs/>
                      <w:color w:val="auto"/>
                      <w:sz w:val="21"/>
                      <w:szCs w:val="21"/>
                      <w:highlight w:val="none"/>
                      <w:vertAlign w:val="superscript"/>
                    </w:rPr>
                    <w:t>3</w:t>
                  </w:r>
                </w:p>
              </w:tc>
              <w:tc>
                <w:tcPr>
                  <w:tcW w:w="623" w:type="pct"/>
                  <w:tcBorders>
                    <w:tl2br w:val="nil"/>
                    <w:tr2bl w:val="nil"/>
                  </w:tcBorders>
                  <w:noWrap w:val="0"/>
                  <w:vAlign w:val="center"/>
                </w:tcPr>
                <w:p>
                  <w:pPr>
                    <w:pStyle w:val="48"/>
                    <w:keepNext w:val="0"/>
                    <w:keepLines w:val="0"/>
                    <w:pageBreakBefore w:val="0"/>
                    <w:widowControl/>
                    <w:kinsoku/>
                    <w:wordWrap/>
                    <w:overflowPunct/>
                    <w:topLinePunct w:val="0"/>
                    <w:autoSpaceDE/>
                    <w:autoSpaceDN/>
                    <w:bidi w:val="0"/>
                    <w:adjustRightInd w:val="0"/>
                    <w:snapToGrid w:val="0"/>
                    <w:spacing w:beforeLines="0" w:afterLines="0" w:line="240" w:lineRule="auto"/>
                    <w:ind w:left="0" w:firstLine="0"/>
                    <w:jc w:val="both"/>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占标率%</w:t>
                  </w:r>
                </w:p>
              </w:tc>
              <w:tc>
                <w:tcPr>
                  <w:tcW w:w="604" w:type="pct"/>
                  <w:tcBorders>
                    <w:tl2br w:val="nil"/>
                    <w:tr2bl w:val="nil"/>
                  </w:tcBorders>
                  <w:noWrap w:val="0"/>
                  <w:vAlign w:val="center"/>
                </w:tcPr>
                <w:p>
                  <w:pPr>
                    <w:pStyle w:val="48"/>
                    <w:keepNext w:val="0"/>
                    <w:keepLines w:val="0"/>
                    <w:pageBreakBefore w:val="0"/>
                    <w:widowControl/>
                    <w:kinsoku/>
                    <w:wordWrap/>
                    <w:overflowPunct/>
                    <w:topLinePunct w:val="0"/>
                    <w:autoSpaceDE/>
                    <w:autoSpaceDN/>
                    <w:bidi w:val="0"/>
                    <w:adjustRightInd w:val="0"/>
                    <w:snapToGrid w:val="0"/>
                    <w:spacing w:beforeLines="0" w:afterLines="0" w:line="240" w:lineRule="auto"/>
                    <w:ind w:left="0" w:firstLine="0"/>
                    <w:jc w:val="both"/>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541"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SO</w:t>
                  </w:r>
                  <w:r>
                    <w:rPr>
                      <w:rFonts w:hint="default" w:ascii="Times New Roman" w:hAnsi="Times New Roman" w:eastAsia="宋体" w:cs="Times New Roman"/>
                      <w:color w:val="auto"/>
                      <w:sz w:val="21"/>
                      <w:szCs w:val="21"/>
                      <w:highlight w:val="none"/>
                      <w:vertAlign w:val="subscript"/>
                    </w:rPr>
                    <w:t>2</w:t>
                  </w:r>
                </w:p>
              </w:tc>
              <w:tc>
                <w:tcPr>
                  <w:tcW w:w="162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84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9</w:t>
                  </w:r>
                </w:p>
              </w:tc>
              <w:tc>
                <w:tcPr>
                  <w:tcW w:w="762"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60</w:t>
                  </w:r>
                </w:p>
              </w:tc>
              <w:tc>
                <w:tcPr>
                  <w:tcW w:w="623"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15</w:t>
                  </w:r>
                </w:p>
              </w:tc>
              <w:tc>
                <w:tcPr>
                  <w:tcW w:w="60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541"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NO</w:t>
                  </w:r>
                  <w:r>
                    <w:rPr>
                      <w:rFonts w:hint="default" w:ascii="Times New Roman" w:hAnsi="Times New Roman" w:eastAsia="宋体" w:cs="Times New Roman"/>
                      <w:color w:val="auto"/>
                      <w:sz w:val="21"/>
                      <w:szCs w:val="21"/>
                      <w:highlight w:val="none"/>
                      <w:vertAlign w:val="subscript"/>
                    </w:rPr>
                    <w:t>2</w:t>
                  </w:r>
                </w:p>
              </w:tc>
              <w:tc>
                <w:tcPr>
                  <w:tcW w:w="162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84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43</w:t>
                  </w:r>
                </w:p>
              </w:tc>
              <w:tc>
                <w:tcPr>
                  <w:tcW w:w="762"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w:t>
                  </w:r>
                </w:p>
              </w:tc>
              <w:tc>
                <w:tcPr>
                  <w:tcW w:w="623"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107.5</w:t>
                  </w:r>
                </w:p>
              </w:tc>
              <w:tc>
                <w:tcPr>
                  <w:tcW w:w="60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eastAsia" w:ascii="Times New Roman" w:cs="Times New Roman"/>
                      <w:color w:val="auto"/>
                      <w:sz w:val="21"/>
                      <w:szCs w:val="21"/>
                      <w:highlight w:val="none"/>
                      <w:lang w:eastAsia="zh-CN"/>
                    </w:rPr>
                    <w:t>不</w:t>
                  </w:r>
                  <w:r>
                    <w:rPr>
                      <w:rFonts w:hint="default" w:ascii="Times New Roman" w:hAnsi="Times New Roman" w:eastAsia="宋体"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541"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PM</w:t>
                  </w:r>
                  <w:r>
                    <w:rPr>
                      <w:rFonts w:hint="default" w:ascii="Times New Roman" w:hAnsi="Times New Roman" w:eastAsia="宋体" w:cs="Times New Roman"/>
                      <w:color w:val="auto"/>
                      <w:sz w:val="21"/>
                      <w:szCs w:val="21"/>
                      <w:highlight w:val="none"/>
                      <w:vertAlign w:val="subscript"/>
                    </w:rPr>
                    <w:t>10</w:t>
                  </w:r>
                </w:p>
              </w:tc>
              <w:tc>
                <w:tcPr>
                  <w:tcW w:w="162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84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82</w:t>
                  </w:r>
                </w:p>
              </w:tc>
              <w:tc>
                <w:tcPr>
                  <w:tcW w:w="762"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w:t>
                  </w:r>
                </w:p>
              </w:tc>
              <w:tc>
                <w:tcPr>
                  <w:tcW w:w="623"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117.14</w:t>
                  </w:r>
                </w:p>
              </w:tc>
              <w:tc>
                <w:tcPr>
                  <w:tcW w:w="60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eastAsia" w:ascii="Times New Roman" w:cs="Times New Roman"/>
                      <w:color w:val="auto"/>
                      <w:sz w:val="21"/>
                      <w:szCs w:val="21"/>
                      <w:highlight w:val="none"/>
                      <w:lang w:eastAsia="zh-CN"/>
                    </w:rPr>
                    <w:t>不</w:t>
                  </w:r>
                  <w:r>
                    <w:rPr>
                      <w:rFonts w:hint="default" w:ascii="Times New Roman" w:hAnsi="Times New Roman" w:eastAsia="宋体"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541"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PM</w:t>
                  </w:r>
                  <w:r>
                    <w:rPr>
                      <w:rFonts w:hint="default" w:ascii="Times New Roman" w:hAnsi="Times New Roman" w:eastAsia="宋体" w:cs="Times New Roman"/>
                      <w:color w:val="auto"/>
                      <w:sz w:val="21"/>
                      <w:szCs w:val="21"/>
                      <w:highlight w:val="none"/>
                      <w:vertAlign w:val="subscript"/>
                    </w:rPr>
                    <w:t>2.5</w:t>
                  </w:r>
                </w:p>
              </w:tc>
              <w:tc>
                <w:tcPr>
                  <w:tcW w:w="162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年平均质量浓度</w:t>
                  </w:r>
                </w:p>
              </w:tc>
              <w:tc>
                <w:tcPr>
                  <w:tcW w:w="84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41</w:t>
                  </w:r>
                </w:p>
              </w:tc>
              <w:tc>
                <w:tcPr>
                  <w:tcW w:w="762"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w:t>
                  </w:r>
                </w:p>
              </w:tc>
              <w:tc>
                <w:tcPr>
                  <w:tcW w:w="623"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117.14</w:t>
                  </w:r>
                </w:p>
              </w:tc>
              <w:tc>
                <w:tcPr>
                  <w:tcW w:w="60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eastAsia" w:ascii="Times New Roman" w:cs="Times New Roman"/>
                      <w:color w:val="auto"/>
                      <w:sz w:val="21"/>
                      <w:szCs w:val="21"/>
                      <w:highlight w:val="none"/>
                      <w:lang w:eastAsia="zh-CN"/>
                    </w:rPr>
                    <w:t>不</w:t>
                  </w:r>
                  <w:r>
                    <w:rPr>
                      <w:rFonts w:hint="default" w:ascii="Times New Roman" w:hAnsi="Times New Roman" w:eastAsia="宋体"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541"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CO</w:t>
                  </w:r>
                </w:p>
              </w:tc>
              <w:tc>
                <w:tcPr>
                  <w:tcW w:w="162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24小时平均第95百分位浓度</w:t>
                  </w:r>
                </w:p>
              </w:tc>
              <w:tc>
                <w:tcPr>
                  <w:tcW w:w="84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1400</w:t>
                  </w:r>
                </w:p>
              </w:tc>
              <w:tc>
                <w:tcPr>
                  <w:tcW w:w="762"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4000</w:t>
                  </w:r>
                </w:p>
              </w:tc>
              <w:tc>
                <w:tcPr>
                  <w:tcW w:w="623"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35</w:t>
                  </w:r>
                </w:p>
              </w:tc>
              <w:tc>
                <w:tcPr>
                  <w:tcW w:w="60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541"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O</w:t>
                  </w:r>
                  <w:r>
                    <w:rPr>
                      <w:rFonts w:hint="default" w:ascii="Times New Roman" w:hAnsi="Times New Roman" w:eastAsia="宋体" w:cs="Times New Roman"/>
                      <w:color w:val="auto"/>
                      <w:sz w:val="21"/>
                      <w:szCs w:val="21"/>
                      <w:highlight w:val="none"/>
                      <w:vertAlign w:val="subscript"/>
                    </w:rPr>
                    <w:t>3</w:t>
                  </w:r>
                </w:p>
              </w:tc>
              <w:tc>
                <w:tcPr>
                  <w:tcW w:w="162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日最大8小时平均第90百分位数浓度</w:t>
                  </w:r>
                </w:p>
              </w:tc>
              <w:tc>
                <w:tcPr>
                  <w:tcW w:w="84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157</w:t>
                  </w:r>
                </w:p>
              </w:tc>
              <w:tc>
                <w:tcPr>
                  <w:tcW w:w="762"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160</w:t>
                  </w:r>
                </w:p>
              </w:tc>
              <w:tc>
                <w:tcPr>
                  <w:tcW w:w="623"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98.13</w:t>
                  </w:r>
                </w:p>
              </w:tc>
              <w:tc>
                <w:tcPr>
                  <w:tcW w:w="604" w:type="pct"/>
                  <w:tcBorders>
                    <w:tl2br w:val="nil"/>
                    <w:tr2bl w:val="nil"/>
                  </w:tcBorders>
                  <w:noWrap w:val="0"/>
                  <w:vAlign w:val="center"/>
                </w:tcPr>
                <w:p>
                  <w:pPr>
                    <w:pStyle w:val="48"/>
                    <w:bidi w:val="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bl>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根据“环保快报（202</w:t>
            </w:r>
            <w:r>
              <w:rPr>
                <w:rFonts w:hint="eastAsia"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年12月及1~12月全省环境空气质量状况）”，</w:t>
            </w:r>
            <w:r>
              <w:rPr>
                <w:rFonts w:hint="eastAsia" w:cs="Times New Roman"/>
                <w:color w:val="auto"/>
                <w:sz w:val="24"/>
                <w:szCs w:val="24"/>
                <w:lang w:val="en-US" w:eastAsia="zh-CN"/>
              </w:rPr>
              <w:t>莲湖区</w:t>
            </w:r>
            <w:r>
              <w:rPr>
                <w:rFonts w:hint="default" w:ascii="Times New Roman" w:hAnsi="Times New Roman" w:eastAsia="宋体" w:cs="Times New Roman"/>
                <w:color w:val="auto"/>
                <w:sz w:val="24"/>
                <w:szCs w:val="24"/>
                <w:lang w:val="en-US" w:eastAsia="zh-CN"/>
              </w:rPr>
              <w:t>环境空气6个监测项目中，SO</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lang w:val="en-US" w:eastAsia="zh-CN"/>
              </w:rPr>
              <w:t>年均质量浓度值</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CO</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24小时平均第95百分位数的浓度</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vertAlign w:val="subscript"/>
                <w:lang w:val="en-US" w:eastAsia="zh-CN"/>
              </w:rPr>
              <w:t>3</w:t>
            </w:r>
            <w:r>
              <w:rPr>
                <w:rFonts w:hint="default" w:ascii="Times New Roman" w:hAnsi="Times New Roman" w:eastAsia="宋体" w:cs="Times New Roman"/>
                <w:color w:val="auto"/>
                <w:sz w:val="24"/>
                <w:szCs w:val="24"/>
                <w:lang w:val="en-US" w:eastAsia="zh-CN"/>
              </w:rPr>
              <w:t>日最大8小时平均第90百分位数浓度低于国家环境空气质量二级标准</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NO</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lang w:val="en-US" w:eastAsia="zh-CN"/>
              </w:rPr>
              <w:t>年均质量浓度值</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PM</w:t>
            </w:r>
            <w:r>
              <w:rPr>
                <w:rFonts w:hint="default" w:ascii="Times New Roman" w:hAnsi="Times New Roman" w:eastAsia="宋体" w:cs="Times New Roman"/>
                <w:color w:val="auto"/>
                <w:sz w:val="24"/>
                <w:szCs w:val="24"/>
                <w:vertAlign w:val="subscript"/>
                <w:lang w:val="en-US" w:eastAsia="zh-CN"/>
              </w:rPr>
              <w:t>10</w:t>
            </w:r>
            <w:r>
              <w:rPr>
                <w:rFonts w:hint="eastAsia" w:cs="Times New Roman"/>
                <w:color w:val="auto"/>
                <w:sz w:val="24"/>
                <w:szCs w:val="24"/>
                <w:lang w:val="en-US" w:eastAsia="zh-CN"/>
              </w:rPr>
              <w:t>及</w:t>
            </w:r>
            <w:r>
              <w:rPr>
                <w:rFonts w:hint="default" w:ascii="Times New Roman" w:hAnsi="Times New Roman" w:eastAsia="宋体" w:cs="Times New Roman"/>
                <w:color w:val="auto"/>
                <w:sz w:val="24"/>
                <w:szCs w:val="24"/>
                <w:lang w:val="en-US" w:eastAsia="zh-CN"/>
              </w:rPr>
              <w:t>PM</w:t>
            </w:r>
            <w:r>
              <w:rPr>
                <w:rFonts w:hint="default" w:ascii="Times New Roman" w:hAnsi="Times New Roman" w:eastAsia="宋体" w:cs="Times New Roman"/>
                <w:color w:val="auto"/>
                <w:sz w:val="24"/>
                <w:szCs w:val="24"/>
                <w:vertAlign w:val="subscript"/>
                <w:lang w:val="en-US" w:eastAsia="zh-CN"/>
              </w:rPr>
              <w:t>2.5</w:t>
            </w:r>
            <w:r>
              <w:rPr>
                <w:rFonts w:hint="default" w:ascii="Times New Roman" w:hAnsi="Times New Roman" w:eastAsia="宋体" w:cs="Times New Roman"/>
                <w:color w:val="auto"/>
                <w:sz w:val="24"/>
                <w:szCs w:val="24"/>
                <w:lang w:val="en-US" w:eastAsia="zh-CN"/>
              </w:rPr>
              <w:t>年均质量浓度值</w:t>
            </w:r>
            <w:r>
              <w:rPr>
                <w:rFonts w:hint="eastAsia" w:cs="Times New Roman"/>
                <w:color w:val="auto"/>
                <w:sz w:val="24"/>
                <w:szCs w:val="24"/>
                <w:lang w:val="en-US" w:eastAsia="zh-CN"/>
              </w:rPr>
              <w:t>高于</w:t>
            </w:r>
            <w:r>
              <w:rPr>
                <w:rFonts w:hint="default" w:ascii="Times New Roman" w:hAnsi="Times New Roman" w:eastAsia="宋体" w:cs="Times New Roman"/>
                <w:color w:val="auto"/>
                <w:sz w:val="24"/>
                <w:szCs w:val="24"/>
                <w:lang w:val="en-US" w:eastAsia="zh-CN"/>
              </w:rPr>
              <w:t>国家环境空气质量二级标准。因此本项目</w:t>
            </w:r>
            <w:r>
              <w:rPr>
                <w:rFonts w:hint="eastAsia" w:ascii="Times New Roman" w:hAnsi="Times New Roman" w:eastAsia="宋体" w:cs="Times New Roman"/>
                <w:color w:val="auto"/>
                <w:sz w:val="24"/>
                <w:szCs w:val="24"/>
                <w:lang w:val="en-US" w:eastAsia="zh-CN"/>
              </w:rPr>
              <w:t>所在</w:t>
            </w:r>
            <w:r>
              <w:rPr>
                <w:rFonts w:hint="eastAsia" w:cs="Times New Roman"/>
                <w:color w:val="auto"/>
                <w:sz w:val="24"/>
                <w:szCs w:val="24"/>
                <w:lang w:val="en-US" w:eastAsia="zh-CN"/>
              </w:rPr>
              <w:t>地区</w:t>
            </w:r>
            <w:r>
              <w:rPr>
                <w:rFonts w:hint="default" w:ascii="Times New Roman" w:hAnsi="Times New Roman" w:eastAsia="宋体" w:cs="Times New Roman"/>
                <w:color w:val="auto"/>
                <w:sz w:val="24"/>
                <w:szCs w:val="24"/>
                <w:lang w:val="en-US" w:eastAsia="zh-CN"/>
              </w:rPr>
              <w:t>处于</w:t>
            </w:r>
            <w:r>
              <w:rPr>
                <w:rFonts w:hint="eastAsia" w:cs="Times New Roman"/>
                <w:color w:val="auto"/>
                <w:sz w:val="24"/>
                <w:szCs w:val="24"/>
                <w:lang w:val="en-US" w:eastAsia="zh-CN"/>
              </w:rPr>
              <w:t>不</w:t>
            </w:r>
            <w:r>
              <w:rPr>
                <w:rFonts w:hint="default" w:ascii="Times New Roman" w:hAnsi="Times New Roman" w:eastAsia="宋体" w:cs="Times New Roman"/>
                <w:color w:val="auto"/>
                <w:sz w:val="24"/>
                <w:szCs w:val="24"/>
                <w:lang w:val="en-US" w:eastAsia="zh-CN"/>
              </w:rPr>
              <w:t>达标区</w:t>
            </w:r>
            <w:r>
              <w:rPr>
                <w:rFonts w:hint="eastAsia" w:ascii="Times New Roman" w:hAnsi="Times New Roman" w:eastAsia="宋体" w:cs="Times New Roman"/>
                <w:color w:val="auto"/>
                <w:sz w:val="24"/>
                <w:szCs w:val="24"/>
                <w:lang w:val="en-US" w:eastAsia="zh-CN"/>
              </w:rPr>
              <w:t>。</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2）特征污染物</w:t>
            </w:r>
          </w:p>
          <w:p>
            <w:pPr>
              <w:tabs>
                <w:tab w:val="left" w:pos="3555"/>
              </w:tabs>
              <w:spacing w:line="360" w:lineRule="auto"/>
              <w:ind w:firstLine="480" w:firstLineChars="200"/>
              <w:rPr>
                <w:color w:val="auto"/>
                <w:sz w:val="24"/>
                <w:szCs w:val="24"/>
              </w:rPr>
            </w:pPr>
            <w:r>
              <w:rPr>
                <w:rFonts w:hint="eastAsia"/>
                <w:color w:val="auto"/>
                <w:sz w:val="24"/>
                <w:szCs w:val="24"/>
              </w:rPr>
              <w:t>本次特征因子评价，监测时间为202</w:t>
            </w:r>
            <w:r>
              <w:rPr>
                <w:rFonts w:hint="eastAsia"/>
                <w:color w:val="auto"/>
                <w:sz w:val="24"/>
                <w:szCs w:val="24"/>
                <w:lang w:val="en-US" w:eastAsia="zh-CN"/>
              </w:rPr>
              <w:t>2</w:t>
            </w:r>
            <w:r>
              <w:rPr>
                <w:rFonts w:hint="eastAsia"/>
                <w:color w:val="auto"/>
                <w:sz w:val="24"/>
                <w:szCs w:val="24"/>
              </w:rPr>
              <w:t>年</w:t>
            </w:r>
            <w:r>
              <w:rPr>
                <w:rFonts w:hint="eastAsia"/>
                <w:color w:val="auto"/>
                <w:sz w:val="24"/>
                <w:szCs w:val="24"/>
                <w:lang w:val="en-US" w:eastAsia="zh-CN"/>
              </w:rPr>
              <w:t>4</w:t>
            </w:r>
            <w:r>
              <w:rPr>
                <w:rFonts w:hint="eastAsia"/>
                <w:color w:val="auto"/>
                <w:sz w:val="24"/>
                <w:szCs w:val="24"/>
              </w:rPr>
              <w:t>月</w:t>
            </w:r>
            <w:r>
              <w:rPr>
                <w:rFonts w:hint="eastAsia"/>
                <w:color w:val="auto"/>
                <w:sz w:val="24"/>
                <w:szCs w:val="24"/>
                <w:lang w:val="en-US" w:eastAsia="zh-CN"/>
              </w:rPr>
              <w:t>1</w:t>
            </w:r>
            <w:r>
              <w:rPr>
                <w:rFonts w:hint="eastAsia"/>
                <w:color w:val="auto"/>
                <w:sz w:val="24"/>
                <w:szCs w:val="24"/>
              </w:rPr>
              <w:t>9日至202</w:t>
            </w:r>
            <w:r>
              <w:rPr>
                <w:rFonts w:hint="eastAsia"/>
                <w:color w:val="auto"/>
                <w:sz w:val="24"/>
                <w:szCs w:val="24"/>
                <w:lang w:val="en-US" w:eastAsia="zh-CN"/>
              </w:rPr>
              <w:t>2</w:t>
            </w:r>
            <w:r>
              <w:rPr>
                <w:rFonts w:hint="eastAsia"/>
                <w:color w:val="auto"/>
                <w:sz w:val="24"/>
                <w:szCs w:val="24"/>
              </w:rPr>
              <w:t>年</w:t>
            </w:r>
            <w:r>
              <w:rPr>
                <w:rFonts w:hint="eastAsia"/>
                <w:color w:val="auto"/>
                <w:sz w:val="24"/>
                <w:szCs w:val="24"/>
                <w:lang w:val="en-US" w:eastAsia="zh-CN"/>
              </w:rPr>
              <w:t>4</w:t>
            </w:r>
            <w:r>
              <w:rPr>
                <w:rFonts w:hint="eastAsia"/>
                <w:color w:val="auto"/>
                <w:sz w:val="24"/>
                <w:szCs w:val="24"/>
              </w:rPr>
              <w:t>月</w:t>
            </w:r>
            <w:r>
              <w:rPr>
                <w:rFonts w:hint="eastAsia"/>
                <w:color w:val="auto"/>
                <w:sz w:val="24"/>
                <w:szCs w:val="24"/>
                <w:lang w:val="en-US" w:eastAsia="zh-CN"/>
              </w:rPr>
              <w:t>2</w:t>
            </w:r>
            <w:r>
              <w:rPr>
                <w:rFonts w:hint="eastAsia"/>
                <w:color w:val="auto"/>
                <w:sz w:val="24"/>
                <w:szCs w:val="24"/>
              </w:rPr>
              <w:t>1日。具体内容如下：</w:t>
            </w:r>
          </w:p>
          <w:p>
            <w:pPr>
              <w:tabs>
                <w:tab w:val="left" w:pos="3555"/>
              </w:tabs>
              <w:spacing w:line="360" w:lineRule="auto"/>
              <w:ind w:firstLine="480" w:firstLineChars="200"/>
              <w:rPr>
                <w:color w:val="auto"/>
                <w:sz w:val="24"/>
                <w:szCs w:val="24"/>
              </w:rPr>
            </w:pPr>
            <w:r>
              <w:rPr>
                <w:rFonts w:hint="eastAsia"/>
                <w:color w:val="auto"/>
                <w:sz w:val="24"/>
                <w:szCs w:val="24"/>
              </w:rPr>
              <w:t>（1）监测点位：设1个监测点位，项目地</w:t>
            </w:r>
            <w:r>
              <w:rPr>
                <w:rFonts w:hint="eastAsia"/>
                <w:color w:val="auto"/>
                <w:sz w:val="24"/>
                <w:szCs w:val="24"/>
                <w:lang w:val="en-US" w:eastAsia="zh-CN"/>
              </w:rPr>
              <w:t>内</w:t>
            </w:r>
            <w:r>
              <w:rPr>
                <w:rFonts w:hint="eastAsia"/>
                <w:color w:val="auto"/>
                <w:sz w:val="24"/>
                <w:szCs w:val="24"/>
              </w:rPr>
              <w:t>，具体位置见附图4。</w:t>
            </w:r>
          </w:p>
          <w:p>
            <w:pPr>
              <w:tabs>
                <w:tab w:val="left" w:pos="3555"/>
              </w:tabs>
              <w:spacing w:line="360" w:lineRule="auto"/>
              <w:ind w:firstLine="480" w:firstLineChars="200"/>
              <w:rPr>
                <w:color w:val="auto"/>
                <w:sz w:val="24"/>
                <w:szCs w:val="24"/>
              </w:rPr>
            </w:pPr>
            <w:r>
              <w:rPr>
                <w:rFonts w:hint="eastAsia"/>
                <w:color w:val="auto"/>
                <w:sz w:val="24"/>
                <w:szCs w:val="24"/>
              </w:rPr>
              <w:t>（2）监测因子：</w:t>
            </w:r>
            <w:r>
              <w:rPr>
                <w:rFonts w:hint="eastAsia"/>
                <w:color w:val="auto"/>
                <w:kern w:val="0"/>
                <w:sz w:val="24"/>
                <w:szCs w:val="24"/>
              </w:rPr>
              <w:t>硫化氢、氨</w:t>
            </w:r>
            <w:r>
              <w:rPr>
                <w:rFonts w:hint="eastAsia"/>
                <w:color w:val="auto"/>
                <w:sz w:val="24"/>
                <w:szCs w:val="24"/>
              </w:rPr>
              <w:t>。</w:t>
            </w:r>
          </w:p>
          <w:p>
            <w:pPr>
              <w:tabs>
                <w:tab w:val="left" w:pos="3555"/>
              </w:tabs>
              <w:spacing w:line="360" w:lineRule="auto"/>
              <w:ind w:firstLine="480" w:firstLineChars="200"/>
              <w:rPr>
                <w:color w:val="auto"/>
                <w:sz w:val="24"/>
                <w:szCs w:val="24"/>
              </w:rPr>
            </w:pPr>
            <w:r>
              <w:rPr>
                <w:rFonts w:hint="eastAsia"/>
                <w:color w:val="auto"/>
                <w:sz w:val="24"/>
                <w:szCs w:val="24"/>
              </w:rPr>
              <w:t>（3）监测时间及频次：测1小时均值，连续监测3天，每天监测4次。</w:t>
            </w:r>
          </w:p>
          <w:p>
            <w:pPr>
              <w:tabs>
                <w:tab w:val="left" w:pos="3555"/>
              </w:tabs>
              <w:spacing w:line="360" w:lineRule="auto"/>
              <w:ind w:firstLine="480" w:firstLineChars="200"/>
              <w:rPr>
                <w:color w:val="auto"/>
                <w:sz w:val="24"/>
                <w:szCs w:val="24"/>
              </w:rPr>
            </w:pPr>
            <w:r>
              <w:rPr>
                <w:rFonts w:hint="eastAsia"/>
                <w:color w:val="auto"/>
                <w:sz w:val="24"/>
                <w:szCs w:val="24"/>
              </w:rPr>
              <w:t>（4）监测结果</w:t>
            </w:r>
          </w:p>
          <w:p>
            <w:pPr>
              <w:tabs>
                <w:tab w:val="left" w:pos="3555"/>
              </w:tabs>
              <w:spacing w:line="360" w:lineRule="auto"/>
              <w:ind w:firstLine="480" w:firstLineChars="200"/>
              <w:rPr>
                <w:color w:val="auto"/>
                <w:sz w:val="24"/>
                <w:szCs w:val="24"/>
              </w:rPr>
            </w:pPr>
            <w:r>
              <w:rPr>
                <w:rFonts w:hint="eastAsia"/>
                <w:color w:val="auto"/>
                <w:sz w:val="24"/>
                <w:szCs w:val="24"/>
              </w:rPr>
              <w:t>根据监测报告，环境空气质量现状监测结果见下表3-2。</w:t>
            </w:r>
          </w:p>
          <w:p>
            <w:pPr>
              <w:tabs>
                <w:tab w:val="left" w:pos="3555"/>
              </w:tabs>
              <w:jc w:val="center"/>
              <w:rPr>
                <w:b/>
                <w:color w:val="auto"/>
                <w:szCs w:val="21"/>
                <w:vertAlign w:val="superscript"/>
              </w:rPr>
            </w:pPr>
            <w:r>
              <w:rPr>
                <w:b/>
                <w:bCs/>
                <w:color w:val="auto"/>
                <w:szCs w:val="21"/>
              </w:rPr>
              <w:t>表3-</w:t>
            </w:r>
            <w:r>
              <w:rPr>
                <w:rFonts w:hint="eastAsia"/>
                <w:b/>
                <w:bCs/>
                <w:color w:val="auto"/>
                <w:szCs w:val="21"/>
              </w:rPr>
              <w:t>2</w:t>
            </w:r>
            <w:r>
              <w:rPr>
                <w:rFonts w:hint="eastAsia"/>
                <w:b/>
                <w:color w:val="auto"/>
                <w:szCs w:val="21"/>
              </w:rPr>
              <w:t xml:space="preserve">  </w:t>
            </w:r>
            <w:r>
              <w:rPr>
                <w:b/>
                <w:color w:val="auto"/>
                <w:szCs w:val="21"/>
              </w:rPr>
              <w:t xml:space="preserve">  环境空气监测结果统计表  </w:t>
            </w:r>
            <w:r>
              <w:rPr>
                <w:rFonts w:hint="eastAsia"/>
                <w:b/>
                <w:color w:val="auto"/>
                <w:szCs w:val="21"/>
              </w:rPr>
              <w:t xml:space="preserve"> </w:t>
            </w:r>
            <w:r>
              <w:rPr>
                <w:b/>
                <w:color w:val="auto"/>
                <w:szCs w:val="21"/>
              </w:rPr>
              <w:t xml:space="preserve"> 单位：μg/m</w:t>
            </w:r>
            <w:r>
              <w:rPr>
                <w:b/>
                <w:color w:val="auto"/>
                <w:szCs w:val="21"/>
                <w:vertAlign w:val="superscript"/>
              </w:rPr>
              <w:t>3</w:t>
            </w:r>
          </w:p>
          <w:tbl>
            <w:tblPr>
              <w:tblStyle w:val="27"/>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795"/>
              <w:gridCol w:w="1044"/>
              <w:gridCol w:w="1001"/>
              <w:gridCol w:w="1002"/>
              <w:gridCol w:w="759"/>
              <w:gridCol w:w="811"/>
              <w:gridCol w:w="769"/>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760" w:type="dxa"/>
                  <w:gridSpan w:val="9"/>
                  <w:noWrap w:val="0"/>
                  <w:vAlign w:val="center"/>
                </w:tcPr>
                <w:p>
                  <w:pPr>
                    <w:snapToGrid w:val="0"/>
                    <w:jc w:val="center"/>
                    <w:rPr>
                      <w:rFonts w:hint="eastAsia"/>
                      <w:color w:val="auto"/>
                      <w:szCs w:val="21"/>
                    </w:rPr>
                  </w:pPr>
                  <w:r>
                    <w:rPr>
                      <w:rFonts w:hint="eastAsia"/>
                      <w:b/>
                      <w:bCs/>
                      <w:color w:val="auto"/>
                      <w:szCs w:val="21"/>
                    </w:rPr>
                    <w:t>环境空气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restart"/>
                  <w:noWrap w:val="0"/>
                  <w:vAlign w:val="center"/>
                </w:tcPr>
                <w:p>
                  <w:pPr>
                    <w:snapToGrid w:val="0"/>
                    <w:jc w:val="center"/>
                    <w:rPr>
                      <w:color w:val="auto"/>
                      <w:szCs w:val="21"/>
                    </w:rPr>
                  </w:pPr>
                  <w:r>
                    <w:rPr>
                      <w:rFonts w:hint="eastAsia"/>
                      <w:color w:val="auto"/>
                      <w:szCs w:val="21"/>
                    </w:rPr>
                    <w:t>监测点位</w:t>
                  </w:r>
                </w:p>
              </w:tc>
              <w:tc>
                <w:tcPr>
                  <w:tcW w:w="795" w:type="dxa"/>
                  <w:vMerge w:val="restart"/>
                  <w:noWrap w:val="0"/>
                  <w:vAlign w:val="center"/>
                </w:tcPr>
                <w:p>
                  <w:pPr>
                    <w:snapToGrid w:val="0"/>
                    <w:jc w:val="center"/>
                    <w:rPr>
                      <w:color w:val="auto"/>
                      <w:szCs w:val="21"/>
                    </w:rPr>
                  </w:pPr>
                  <w:r>
                    <w:rPr>
                      <w:rFonts w:hint="eastAsia"/>
                      <w:color w:val="auto"/>
                      <w:szCs w:val="21"/>
                    </w:rPr>
                    <w:t>采样日期</w:t>
                  </w:r>
                </w:p>
              </w:tc>
              <w:tc>
                <w:tcPr>
                  <w:tcW w:w="1044" w:type="dxa"/>
                  <w:vMerge w:val="restart"/>
                  <w:noWrap w:val="0"/>
                  <w:vAlign w:val="center"/>
                </w:tcPr>
                <w:p>
                  <w:pPr>
                    <w:snapToGrid w:val="0"/>
                    <w:jc w:val="center"/>
                    <w:rPr>
                      <w:color w:val="auto"/>
                      <w:szCs w:val="21"/>
                    </w:rPr>
                  </w:pPr>
                  <w:r>
                    <w:rPr>
                      <w:rFonts w:hint="eastAsia"/>
                      <w:color w:val="auto"/>
                      <w:szCs w:val="21"/>
                    </w:rPr>
                    <w:t>监测频次</w:t>
                  </w:r>
                </w:p>
              </w:tc>
              <w:tc>
                <w:tcPr>
                  <w:tcW w:w="2003" w:type="dxa"/>
                  <w:gridSpan w:val="2"/>
                  <w:noWrap w:val="0"/>
                  <w:vAlign w:val="center"/>
                </w:tcPr>
                <w:p>
                  <w:pPr>
                    <w:snapToGrid w:val="0"/>
                    <w:jc w:val="center"/>
                    <w:rPr>
                      <w:color w:val="auto"/>
                      <w:szCs w:val="21"/>
                    </w:rPr>
                  </w:pPr>
                  <w:r>
                    <w:rPr>
                      <w:rFonts w:hint="eastAsia"/>
                      <w:color w:val="auto"/>
                      <w:szCs w:val="21"/>
                    </w:rPr>
                    <w:t>监测结果</w:t>
                  </w:r>
                </w:p>
              </w:tc>
              <w:tc>
                <w:tcPr>
                  <w:tcW w:w="3100" w:type="dxa"/>
                  <w:gridSpan w:val="4"/>
                  <w:noWrap w:val="0"/>
                  <w:vAlign w:val="center"/>
                </w:tcPr>
                <w:p>
                  <w:pPr>
                    <w:snapToGrid w:val="0"/>
                    <w:jc w:val="center"/>
                    <w:rPr>
                      <w:rFonts w:hint="eastAsia"/>
                      <w:color w:val="auto"/>
                      <w:szCs w:val="21"/>
                    </w:rPr>
                  </w:pPr>
                  <w:r>
                    <w:rPr>
                      <w:rFonts w:hint="eastAsia"/>
                      <w:color w:val="auto"/>
                      <w:szCs w:val="21"/>
                    </w:rPr>
                    <w:t>气象条件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18" w:type="dxa"/>
                  <w:vMerge w:val="continue"/>
                  <w:tcBorders>
                    <w:bottom w:val="single" w:color="auto" w:sz="4" w:space="0"/>
                  </w:tcBorders>
                  <w:noWrap w:val="0"/>
                  <w:vAlign w:val="center"/>
                </w:tcPr>
                <w:p>
                  <w:pPr>
                    <w:snapToGrid w:val="0"/>
                    <w:jc w:val="center"/>
                    <w:rPr>
                      <w:color w:val="auto"/>
                      <w:szCs w:val="21"/>
                    </w:rPr>
                  </w:pPr>
                </w:p>
              </w:tc>
              <w:tc>
                <w:tcPr>
                  <w:tcW w:w="795" w:type="dxa"/>
                  <w:vMerge w:val="continue"/>
                  <w:noWrap w:val="0"/>
                  <w:vAlign w:val="center"/>
                </w:tcPr>
                <w:p>
                  <w:pPr>
                    <w:snapToGrid w:val="0"/>
                    <w:ind w:left="1050" w:hanging="1050" w:hangingChars="500"/>
                    <w:jc w:val="center"/>
                    <w:rPr>
                      <w:color w:val="auto"/>
                      <w:szCs w:val="21"/>
                    </w:rPr>
                  </w:pPr>
                </w:p>
              </w:tc>
              <w:tc>
                <w:tcPr>
                  <w:tcW w:w="1044" w:type="dxa"/>
                  <w:vMerge w:val="continue"/>
                  <w:noWrap w:val="0"/>
                  <w:vAlign w:val="center"/>
                </w:tcPr>
                <w:p>
                  <w:pPr>
                    <w:snapToGrid w:val="0"/>
                    <w:ind w:left="1050" w:hanging="1050" w:hangingChars="500"/>
                    <w:jc w:val="center"/>
                    <w:rPr>
                      <w:color w:val="auto"/>
                      <w:szCs w:val="21"/>
                    </w:rPr>
                  </w:pPr>
                </w:p>
              </w:tc>
              <w:tc>
                <w:tcPr>
                  <w:tcW w:w="1001" w:type="dxa"/>
                  <w:noWrap w:val="0"/>
                  <w:vAlign w:val="center"/>
                </w:tcPr>
                <w:p>
                  <w:pPr>
                    <w:jc w:val="center"/>
                    <w:rPr>
                      <w:rFonts w:hint="eastAsia"/>
                      <w:b/>
                      <w:bCs/>
                      <w:color w:val="auto"/>
                      <w:szCs w:val="21"/>
                    </w:rPr>
                  </w:pPr>
                  <w:r>
                    <w:rPr>
                      <w:rFonts w:hint="eastAsia"/>
                      <w:color w:val="auto"/>
                      <w:szCs w:val="21"/>
                    </w:rPr>
                    <w:t>氨(mg/m</w:t>
                  </w:r>
                  <w:r>
                    <w:rPr>
                      <w:rFonts w:hint="eastAsia"/>
                      <w:color w:val="auto"/>
                      <w:szCs w:val="21"/>
                      <w:vertAlign w:val="superscript"/>
                    </w:rPr>
                    <w:t>3</w:t>
                  </w:r>
                  <w:r>
                    <w:rPr>
                      <w:rFonts w:hint="eastAsia"/>
                      <w:color w:val="auto"/>
                      <w:szCs w:val="21"/>
                    </w:rPr>
                    <w:t>)</w:t>
                  </w:r>
                </w:p>
              </w:tc>
              <w:tc>
                <w:tcPr>
                  <w:tcW w:w="1002" w:type="dxa"/>
                  <w:noWrap w:val="0"/>
                  <w:vAlign w:val="center"/>
                </w:tcPr>
                <w:p>
                  <w:pPr>
                    <w:jc w:val="center"/>
                    <w:rPr>
                      <w:rFonts w:hint="eastAsia"/>
                      <w:color w:val="auto"/>
                      <w:szCs w:val="21"/>
                    </w:rPr>
                  </w:pPr>
                  <w:r>
                    <w:rPr>
                      <w:rFonts w:hint="eastAsia"/>
                      <w:color w:val="auto"/>
                      <w:szCs w:val="21"/>
                    </w:rPr>
                    <w:t>硫化氢(mg/m</w:t>
                  </w:r>
                  <w:r>
                    <w:rPr>
                      <w:rFonts w:hint="eastAsia"/>
                      <w:color w:val="auto"/>
                      <w:szCs w:val="21"/>
                      <w:vertAlign w:val="superscript"/>
                    </w:rPr>
                    <w:t>3</w:t>
                  </w:r>
                  <w:r>
                    <w:rPr>
                      <w:rFonts w:hint="eastAsia"/>
                      <w:color w:val="auto"/>
                      <w:szCs w:val="21"/>
                    </w:rPr>
                    <w:t>)</w:t>
                  </w:r>
                </w:p>
              </w:tc>
              <w:tc>
                <w:tcPr>
                  <w:tcW w:w="759" w:type="dxa"/>
                  <w:noWrap w:val="0"/>
                  <w:vAlign w:val="center"/>
                </w:tcPr>
                <w:p>
                  <w:pPr>
                    <w:jc w:val="center"/>
                    <w:rPr>
                      <w:rFonts w:hint="eastAsia"/>
                      <w:b/>
                      <w:bCs/>
                      <w:color w:val="auto"/>
                      <w:szCs w:val="21"/>
                    </w:rPr>
                  </w:pPr>
                  <w:r>
                    <w:rPr>
                      <w:color w:val="auto"/>
                      <w:szCs w:val="21"/>
                    </w:rPr>
                    <w:t>气温(℃)</w:t>
                  </w:r>
                </w:p>
              </w:tc>
              <w:tc>
                <w:tcPr>
                  <w:tcW w:w="811" w:type="dxa"/>
                  <w:noWrap w:val="0"/>
                  <w:vAlign w:val="center"/>
                </w:tcPr>
                <w:p>
                  <w:pPr>
                    <w:jc w:val="center"/>
                    <w:rPr>
                      <w:color w:val="auto"/>
                      <w:szCs w:val="21"/>
                    </w:rPr>
                  </w:pPr>
                  <w:r>
                    <w:rPr>
                      <w:color w:val="auto"/>
                      <w:szCs w:val="21"/>
                    </w:rPr>
                    <w:t>气</w:t>
                  </w:r>
                  <w:r>
                    <w:rPr>
                      <w:rFonts w:hint="eastAsia"/>
                      <w:color w:val="auto"/>
                      <w:szCs w:val="21"/>
                    </w:rPr>
                    <w:t>压</w:t>
                  </w:r>
                  <w:r>
                    <w:rPr>
                      <w:color w:val="auto"/>
                      <w:szCs w:val="21"/>
                    </w:rPr>
                    <w:t>(kPa</w:t>
                  </w:r>
                  <w:r>
                    <w:rPr>
                      <w:rFonts w:hint="eastAsia"/>
                      <w:color w:val="auto"/>
                      <w:szCs w:val="21"/>
                    </w:rPr>
                    <w:t>）</w:t>
                  </w:r>
                </w:p>
              </w:tc>
              <w:tc>
                <w:tcPr>
                  <w:tcW w:w="769" w:type="dxa"/>
                  <w:noWrap w:val="0"/>
                  <w:vAlign w:val="center"/>
                </w:tcPr>
                <w:p>
                  <w:pPr>
                    <w:jc w:val="center"/>
                    <w:rPr>
                      <w:rFonts w:hint="eastAsia"/>
                      <w:color w:val="auto"/>
                      <w:szCs w:val="21"/>
                    </w:rPr>
                  </w:pPr>
                  <w:r>
                    <w:rPr>
                      <w:rFonts w:hint="eastAsia"/>
                      <w:color w:val="auto"/>
                      <w:szCs w:val="21"/>
                    </w:rPr>
                    <w:t>风速</w:t>
                  </w:r>
                </w:p>
                <w:p>
                  <w:pPr>
                    <w:jc w:val="center"/>
                    <w:rPr>
                      <w:rFonts w:hint="eastAsia"/>
                      <w:color w:val="auto"/>
                      <w:szCs w:val="21"/>
                    </w:rPr>
                  </w:pPr>
                  <w:r>
                    <w:rPr>
                      <w:rFonts w:hint="eastAsia"/>
                      <w:color w:val="auto"/>
                      <w:szCs w:val="21"/>
                    </w:rPr>
                    <w:t>(m/s</w:t>
                  </w:r>
                  <w:r>
                    <w:rPr>
                      <w:color w:val="auto"/>
                      <w:szCs w:val="21"/>
                    </w:rPr>
                    <w:t>)</w:t>
                  </w:r>
                </w:p>
              </w:tc>
              <w:tc>
                <w:tcPr>
                  <w:tcW w:w="761" w:type="dxa"/>
                  <w:noWrap w:val="0"/>
                  <w:vAlign w:val="center"/>
                </w:tcPr>
                <w:p>
                  <w:pPr>
                    <w:jc w:val="center"/>
                    <w:rPr>
                      <w:rFonts w:hint="eastAsia"/>
                      <w:color w:val="auto"/>
                      <w:szCs w:val="21"/>
                    </w:rPr>
                  </w:pPr>
                  <w:r>
                    <w:rPr>
                      <w:color w:val="auto"/>
                      <w:szCs w:val="21"/>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restart"/>
                  <w:tcBorders>
                    <w:top w:val="single" w:color="auto" w:sz="4" w:space="0"/>
                  </w:tcBorders>
                  <w:noWrap w:val="0"/>
                  <w:vAlign w:val="center"/>
                </w:tcPr>
                <w:p>
                  <w:pPr>
                    <w:jc w:val="center"/>
                    <w:rPr>
                      <w:color w:val="auto"/>
                      <w:szCs w:val="21"/>
                    </w:rPr>
                  </w:pPr>
                  <w:r>
                    <w:rPr>
                      <w:rFonts w:hint="eastAsia"/>
                      <w:color w:val="auto"/>
                      <w:szCs w:val="21"/>
                    </w:rPr>
                    <w:t>项目地</w:t>
                  </w:r>
                </w:p>
              </w:tc>
              <w:tc>
                <w:tcPr>
                  <w:tcW w:w="795" w:type="dxa"/>
                  <w:vMerge w:val="restart"/>
                  <w:noWrap w:val="0"/>
                  <w:vAlign w:val="center"/>
                </w:tcPr>
                <w:p>
                  <w:pPr>
                    <w:jc w:val="center"/>
                    <w:rPr>
                      <w:rFonts w:hint="default" w:eastAsia="宋体"/>
                      <w:color w:val="auto"/>
                      <w:szCs w:val="21"/>
                      <w:lang w:val="en-US" w:eastAsia="zh-CN"/>
                    </w:rPr>
                  </w:pPr>
                  <w:r>
                    <w:rPr>
                      <w:rFonts w:hint="eastAsia"/>
                      <w:color w:val="auto"/>
                      <w:szCs w:val="21"/>
                      <w:lang w:val="en-US" w:eastAsia="zh-CN"/>
                    </w:rPr>
                    <w:t>4.19</w:t>
                  </w:r>
                </w:p>
              </w:tc>
              <w:tc>
                <w:tcPr>
                  <w:tcW w:w="1044" w:type="dxa"/>
                  <w:noWrap w:val="0"/>
                  <w:vAlign w:val="center"/>
                </w:tcPr>
                <w:p>
                  <w:pPr>
                    <w:snapToGrid w:val="0"/>
                    <w:jc w:val="center"/>
                    <w:rPr>
                      <w:color w:val="auto"/>
                      <w:szCs w:val="21"/>
                    </w:rPr>
                  </w:pPr>
                  <w:r>
                    <w:rPr>
                      <w:rFonts w:hint="eastAsia"/>
                      <w:color w:val="auto"/>
                      <w:szCs w:val="21"/>
                    </w:rPr>
                    <w:t>第1次</w:t>
                  </w:r>
                </w:p>
              </w:tc>
              <w:tc>
                <w:tcPr>
                  <w:tcW w:w="1001" w:type="dxa"/>
                  <w:noWrap w:val="0"/>
                  <w:vAlign w:val="center"/>
                </w:tcPr>
                <w:p>
                  <w:pPr>
                    <w:jc w:val="center"/>
                    <w:rPr>
                      <w:rFonts w:hint="default" w:eastAsia="宋体"/>
                      <w:color w:val="auto"/>
                      <w:szCs w:val="21"/>
                      <w:lang w:val="en-US" w:eastAsia="zh-CN"/>
                    </w:rPr>
                  </w:pPr>
                  <w:r>
                    <w:rPr>
                      <w:rFonts w:hint="eastAsia"/>
                      <w:color w:val="auto"/>
                      <w:szCs w:val="21"/>
                      <w:lang w:val="en-US" w:eastAsia="zh-CN"/>
                    </w:rPr>
                    <w:t>0.06</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0.003</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12.8</w:t>
                  </w:r>
                </w:p>
              </w:tc>
              <w:tc>
                <w:tcPr>
                  <w:tcW w:w="811" w:type="dxa"/>
                  <w:noWrap w:val="0"/>
                  <w:vAlign w:val="center"/>
                </w:tcPr>
                <w:p>
                  <w:pPr>
                    <w:jc w:val="center"/>
                    <w:rPr>
                      <w:color w:val="auto"/>
                      <w:szCs w:val="21"/>
                    </w:rPr>
                  </w:pPr>
                  <w:r>
                    <w:rPr>
                      <w:rFonts w:hint="eastAsia"/>
                      <w:color w:val="auto"/>
                      <w:szCs w:val="21"/>
                    </w:rPr>
                    <w:t>95.5</w:t>
                  </w:r>
                </w:p>
              </w:tc>
              <w:tc>
                <w:tcPr>
                  <w:tcW w:w="769" w:type="dxa"/>
                  <w:noWrap w:val="0"/>
                  <w:vAlign w:val="center"/>
                </w:tcPr>
                <w:p>
                  <w:pPr>
                    <w:jc w:val="center"/>
                    <w:rPr>
                      <w:color w:val="auto"/>
                      <w:szCs w:val="21"/>
                    </w:rPr>
                  </w:pPr>
                  <w:r>
                    <w:rPr>
                      <w:rFonts w:hint="eastAsia"/>
                      <w:color w:val="auto"/>
                      <w:szCs w:val="21"/>
                    </w:rPr>
                    <w:t>0.6</w:t>
                  </w:r>
                </w:p>
              </w:tc>
              <w:tc>
                <w:tcPr>
                  <w:tcW w:w="761" w:type="dxa"/>
                  <w:noWrap w:val="0"/>
                  <w:vAlign w:val="center"/>
                </w:tcPr>
                <w:p>
                  <w:pPr>
                    <w:jc w:val="center"/>
                    <w:rPr>
                      <w:color w:val="auto"/>
                      <w:szCs w:val="21"/>
                    </w:rPr>
                  </w:pPr>
                  <w:r>
                    <w:rPr>
                      <w:rFonts w:hint="eastAsia"/>
                      <w:color w:val="auto"/>
                      <w:szCs w:val="21"/>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noWrap w:val="0"/>
                  <w:vAlign w:val="center"/>
                </w:tcPr>
                <w:p>
                  <w:pPr>
                    <w:jc w:val="center"/>
                    <w:rPr>
                      <w:rFonts w:hint="eastAsia"/>
                      <w:color w:val="auto"/>
                      <w:szCs w:val="21"/>
                    </w:rPr>
                  </w:pPr>
                </w:p>
              </w:tc>
              <w:tc>
                <w:tcPr>
                  <w:tcW w:w="1044" w:type="dxa"/>
                  <w:noWrap w:val="0"/>
                  <w:vAlign w:val="center"/>
                </w:tcPr>
                <w:p>
                  <w:pPr>
                    <w:snapToGrid w:val="0"/>
                    <w:jc w:val="center"/>
                    <w:rPr>
                      <w:color w:val="auto"/>
                      <w:szCs w:val="21"/>
                    </w:rPr>
                  </w:pPr>
                  <w:r>
                    <w:rPr>
                      <w:rFonts w:hint="eastAsia"/>
                      <w:color w:val="auto"/>
                      <w:szCs w:val="21"/>
                    </w:rPr>
                    <w:t>第2次</w:t>
                  </w:r>
                </w:p>
              </w:tc>
              <w:tc>
                <w:tcPr>
                  <w:tcW w:w="1001" w:type="dxa"/>
                  <w:noWrap w:val="0"/>
                  <w:vAlign w:val="center"/>
                </w:tcPr>
                <w:p>
                  <w:pPr>
                    <w:jc w:val="center"/>
                    <w:rPr>
                      <w:color w:val="auto"/>
                      <w:szCs w:val="21"/>
                    </w:rPr>
                  </w:pPr>
                  <w:r>
                    <w:rPr>
                      <w:rFonts w:hint="eastAsia"/>
                      <w:color w:val="auto"/>
                      <w:szCs w:val="21"/>
                      <w:lang w:val="en-US" w:eastAsia="zh-CN"/>
                    </w:rPr>
                    <w:t>0.05</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0.004</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22.6</w:t>
                  </w:r>
                </w:p>
              </w:tc>
              <w:tc>
                <w:tcPr>
                  <w:tcW w:w="811" w:type="dxa"/>
                  <w:noWrap w:val="0"/>
                  <w:vAlign w:val="center"/>
                </w:tcPr>
                <w:p>
                  <w:pPr>
                    <w:jc w:val="center"/>
                    <w:rPr>
                      <w:color w:val="auto"/>
                      <w:szCs w:val="21"/>
                    </w:rPr>
                  </w:pPr>
                  <w:r>
                    <w:rPr>
                      <w:rFonts w:hint="eastAsia"/>
                      <w:color w:val="auto"/>
                      <w:szCs w:val="21"/>
                    </w:rPr>
                    <w:t>95.4</w:t>
                  </w:r>
                </w:p>
              </w:tc>
              <w:tc>
                <w:tcPr>
                  <w:tcW w:w="769" w:type="dxa"/>
                  <w:noWrap w:val="0"/>
                  <w:vAlign w:val="center"/>
                </w:tcPr>
                <w:p>
                  <w:pPr>
                    <w:jc w:val="center"/>
                    <w:rPr>
                      <w:color w:val="auto"/>
                      <w:szCs w:val="21"/>
                    </w:rPr>
                  </w:pPr>
                  <w:r>
                    <w:rPr>
                      <w:rFonts w:hint="eastAsia"/>
                      <w:color w:val="auto"/>
                      <w:szCs w:val="21"/>
                    </w:rPr>
                    <w:t>0.9</w:t>
                  </w:r>
                </w:p>
              </w:tc>
              <w:tc>
                <w:tcPr>
                  <w:tcW w:w="761" w:type="dxa"/>
                  <w:noWrap w:val="0"/>
                  <w:vAlign w:val="center"/>
                </w:tcPr>
                <w:p>
                  <w:pPr>
                    <w:jc w:val="center"/>
                    <w:rPr>
                      <w:color w:val="auto"/>
                      <w:szCs w:val="21"/>
                    </w:rPr>
                  </w:pPr>
                  <w:r>
                    <w:rPr>
                      <w:rFonts w:hint="eastAsia"/>
                      <w:color w:val="auto"/>
                      <w:szCs w:val="21"/>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noWrap w:val="0"/>
                  <w:vAlign w:val="center"/>
                </w:tcPr>
                <w:p>
                  <w:pPr>
                    <w:jc w:val="center"/>
                    <w:rPr>
                      <w:rFonts w:hint="eastAsia"/>
                      <w:color w:val="auto"/>
                      <w:szCs w:val="21"/>
                    </w:rPr>
                  </w:pPr>
                </w:p>
              </w:tc>
              <w:tc>
                <w:tcPr>
                  <w:tcW w:w="1044" w:type="dxa"/>
                  <w:noWrap w:val="0"/>
                  <w:vAlign w:val="center"/>
                </w:tcPr>
                <w:p>
                  <w:pPr>
                    <w:snapToGrid w:val="0"/>
                    <w:jc w:val="center"/>
                    <w:rPr>
                      <w:color w:val="auto"/>
                      <w:szCs w:val="21"/>
                    </w:rPr>
                  </w:pPr>
                  <w:r>
                    <w:rPr>
                      <w:rFonts w:hint="eastAsia"/>
                      <w:color w:val="auto"/>
                      <w:szCs w:val="21"/>
                    </w:rPr>
                    <w:t>第3次</w:t>
                  </w:r>
                </w:p>
              </w:tc>
              <w:tc>
                <w:tcPr>
                  <w:tcW w:w="1001" w:type="dxa"/>
                  <w:noWrap w:val="0"/>
                  <w:vAlign w:val="center"/>
                </w:tcPr>
                <w:p>
                  <w:pPr>
                    <w:jc w:val="center"/>
                    <w:rPr>
                      <w:color w:val="auto"/>
                      <w:szCs w:val="21"/>
                    </w:rPr>
                  </w:pPr>
                  <w:r>
                    <w:rPr>
                      <w:rFonts w:hint="eastAsia"/>
                      <w:color w:val="auto"/>
                      <w:szCs w:val="21"/>
                      <w:lang w:val="en-US" w:eastAsia="zh-CN"/>
                    </w:rPr>
                    <w:t>0.05</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0.003</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17.5</w:t>
                  </w:r>
                </w:p>
              </w:tc>
              <w:tc>
                <w:tcPr>
                  <w:tcW w:w="811" w:type="dxa"/>
                  <w:noWrap w:val="0"/>
                  <w:vAlign w:val="center"/>
                </w:tcPr>
                <w:p>
                  <w:pPr>
                    <w:jc w:val="center"/>
                    <w:rPr>
                      <w:color w:val="auto"/>
                      <w:szCs w:val="21"/>
                    </w:rPr>
                  </w:pPr>
                  <w:r>
                    <w:rPr>
                      <w:rFonts w:hint="eastAsia"/>
                      <w:color w:val="auto"/>
                      <w:szCs w:val="21"/>
                    </w:rPr>
                    <w:t>95.3</w:t>
                  </w:r>
                </w:p>
              </w:tc>
              <w:tc>
                <w:tcPr>
                  <w:tcW w:w="769" w:type="dxa"/>
                  <w:noWrap w:val="0"/>
                  <w:vAlign w:val="center"/>
                </w:tcPr>
                <w:p>
                  <w:pPr>
                    <w:jc w:val="center"/>
                    <w:rPr>
                      <w:color w:val="auto"/>
                      <w:szCs w:val="21"/>
                    </w:rPr>
                  </w:pPr>
                  <w:r>
                    <w:rPr>
                      <w:rFonts w:hint="eastAsia"/>
                      <w:color w:val="auto"/>
                      <w:szCs w:val="21"/>
                    </w:rPr>
                    <w:t>1.2</w:t>
                  </w:r>
                </w:p>
              </w:tc>
              <w:tc>
                <w:tcPr>
                  <w:tcW w:w="761" w:type="dxa"/>
                  <w:noWrap w:val="0"/>
                  <w:vAlign w:val="center"/>
                </w:tcPr>
                <w:p>
                  <w:pPr>
                    <w:jc w:val="center"/>
                    <w:rPr>
                      <w:color w:val="auto"/>
                      <w:szCs w:val="21"/>
                    </w:rPr>
                  </w:pPr>
                  <w:r>
                    <w:rPr>
                      <w:rFonts w:hint="eastAsia"/>
                      <w:color w:val="auto"/>
                      <w:szCs w:val="21"/>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tcBorders>
                    <w:bottom w:val="single" w:color="auto" w:sz="4" w:space="0"/>
                  </w:tcBorders>
                  <w:noWrap w:val="0"/>
                  <w:vAlign w:val="center"/>
                </w:tcPr>
                <w:p>
                  <w:pPr>
                    <w:jc w:val="center"/>
                    <w:rPr>
                      <w:rFonts w:hint="eastAsia"/>
                      <w:color w:val="auto"/>
                      <w:szCs w:val="21"/>
                    </w:rPr>
                  </w:pPr>
                </w:p>
              </w:tc>
              <w:tc>
                <w:tcPr>
                  <w:tcW w:w="1044" w:type="dxa"/>
                  <w:noWrap w:val="0"/>
                  <w:vAlign w:val="center"/>
                </w:tcPr>
                <w:p>
                  <w:pPr>
                    <w:snapToGrid w:val="0"/>
                    <w:jc w:val="center"/>
                    <w:rPr>
                      <w:color w:val="auto"/>
                      <w:szCs w:val="21"/>
                    </w:rPr>
                  </w:pPr>
                  <w:r>
                    <w:rPr>
                      <w:rFonts w:hint="eastAsia"/>
                      <w:color w:val="auto"/>
                      <w:szCs w:val="21"/>
                    </w:rPr>
                    <w:t>第4次</w:t>
                  </w:r>
                </w:p>
              </w:tc>
              <w:tc>
                <w:tcPr>
                  <w:tcW w:w="1001" w:type="dxa"/>
                  <w:noWrap w:val="0"/>
                  <w:vAlign w:val="center"/>
                </w:tcPr>
                <w:p>
                  <w:pPr>
                    <w:jc w:val="center"/>
                    <w:rPr>
                      <w:color w:val="auto"/>
                      <w:szCs w:val="21"/>
                    </w:rPr>
                  </w:pPr>
                  <w:r>
                    <w:rPr>
                      <w:rFonts w:hint="eastAsia"/>
                      <w:color w:val="auto"/>
                      <w:szCs w:val="21"/>
                      <w:lang w:val="en-US" w:eastAsia="zh-CN"/>
                    </w:rPr>
                    <w:t>0.06</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0.004</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11.3</w:t>
                  </w:r>
                </w:p>
              </w:tc>
              <w:tc>
                <w:tcPr>
                  <w:tcW w:w="811" w:type="dxa"/>
                  <w:noWrap w:val="0"/>
                  <w:vAlign w:val="center"/>
                </w:tcPr>
                <w:p>
                  <w:pPr>
                    <w:jc w:val="center"/>
                    <w:rPr>
                      <w:color w:val="auto"/>
                      <w:szCs w:val="21"/>
                    </w:rPr>
                  </w:pPr>
                  <w:r>
                    <w:rPr>
                      <w:rFonts w:hint="eastAsia"/>
                      <w:color w:val="auto"/>
                      <w:szCs w:val="21"/>
                    </w:rPr>
                    <w:t>95.4</w:t>
                  </w:r>
                </w:p>
              </w:tc>
              <w:tc>
                <w:tcPr>
                  <w:tcW w:w="769" w:type="dxa"/>
                  <w:noWrap w:val="0"/>
                  <w:vAlign w:val="center"/>
                </w:tcPr>
                <w:p>
                  <w:pPr>
                    <w:jc w:val="center"/>
                    <w:rPr>
                      <w:color w:val="auto"/>
                      <w:szCs w:val="21"/>
                    </w:rPr>
                  </w:pPr>
                  <w:r>
                    <w:rPr>
                      <w:rFonts w:hint="eastAsia"/>
                      <w:color w:val="auto"/>
                      <w:szCs w:val="21"/>
                    </w:rPr>
                    <w:t>0.8</w:t>
                  </w:r>
                </w:p>
              </w:tc>
              <w:tc>
                <w:tcPr>
                  <w:tcW w:w="761" w:type="dxa"/>
                  <w:noWrap w:val="0"/>
                  <w:vAlign w:val="center"/>
                </w:tcPr>
                <w:p>
                  <w:pPr>
                    <w:jc w:val="center"/>
                    <w:rPr>
                      <w:color w:val="auto"/>
                      <w:szCs w:val="21"/>
                    </w:rPr>
                  </w:pPr>
                  <w:r>
                    <w:rPr>
                      <w:rFonts w:hint="eastAsia"/>
                      <w:color w:val="auto"/>
                      <w:szCs w:val="21"/>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restart"/>
                  <w:tcBorders>
                    <w:top w:val="single" w:color="auto" w:sz="4" w:space="0"/>
                  </w:tcBorders>
                  <w:noWrap w:val="0"/>
                  <w:vAlign w:val="center"/>
                </w:tcPr>
                <w:p>
                  <w:pPr>
                    <w:jc w:val="center"/>
                    <w:rPr>
                      <w:rFonts w:hint="default" w:eastAsia="宋体"/>
                      <w:color w:val="auto"/>
                      <w:szCs w:val="21"/>
                      <w:lang w:val="en-US" w:eastAsia="zh-CN"/>
                    </w:rPr>
                  </w:pPr>
                  <w:r>
                    <w:rPr>
                      <w:rFonts w:hint="eastAsia"/>
                      <w:color w:val="auto"/>
                      <w:szCs w:val="21"/>
                      <w:lang w:val="en-US" w:eastAsia="zh-CN"/>
                    </w:rPr>
                    <w:t>4.20</w:t>
                  </w:r>
                </w:p>
              </w:tc>
              <w:tc>
                <w:tcPr>
                  <w:tcW w:w="1044" w:type="dxa"/>
                  <w:noWrap w:val="0"/>
                  <w:vAlign w:val="center"/>
                </w:tcPr>
                <w:p>
                  <w:pPr>
                    <w:snapToGrid w:val="0"/>
                    <w:jc w:val="center"/>
                    <w:rPr>
                      <w:color w:val="auto"/>
                      <w:szCs w:val="21"/>
                    </w:rPr>
                  </w:pPr>
                  <w:r>
                    <w:rPr>
                      <w:rFonts w:hint="eastAsia"/>
                      <w:color w:val="auto"/>
                      <w:szCs w:val="21"/>
                    </w:rPr>
                    <w:t>第1次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0.06</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0.004</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13.1</w:t>
                  </w:r>
                </w:p>
              </w:tc>
              <w:tc>
                <w:tcPr>
                  <w:tcW w:w="811" w:type="dxa"/>
                  <w:noWrap w:val="0"/>
                  <w:vAlign w:val="center"/>
                </w:tcPr>
                <w:p>
                  <w:pPr>
                    <w:jc w:val="center"/>
                    <w:rPr>
                      <w:color w:val="auto"/>
                      <w:szCs w:val="21"/>
                    </w:rPr>
                  </w:pPr>
                  <w:r>
                    <w:rPr>
                      <w:rFonts w:hint="eastAsia"/>
                      <w:color w:val="auto"/>
                      <w:szCs w:val="21"/>
                    </w:rPr>
                    <w:t>95.5</w:t>
                  </w:r>
                </w:p>
              </w:tc>
              <w:tc>
                <w:tcPr>
                  <w:tcW w:w="769" w:type="dxa"/>
                  <w:noWrap w:val="0"/>
                  <w:vAlign w:val="center"/>
                </w:tcPr>
                <w:p>
                  <w:pPr>
                    <w:jc w:val="center"/>
                    <w:rPr>
                      <w:color w:val="auto"/>
                      <w:szCs w:val="21"/>
                    </w:rPr>
                  </w:pPr>
                  <w:r>
                    <w:rPr>
                      <w:rFonts w:hint="eastAsia"/>
                      <w:color w:val="auto"/>
                      <w:szCs w:val="21"/>
                    </w:rPr>
                    <w:t>0.9</w:t>
                  </w:r>
                </w:p>
              </w:tc>
              <w:tc>
                <w:tcPr>
                  <w:tcW w:w="761" w:type="dxa"/>
                  <w:noWrap w:val="0"/>
                  <w:vAlign w:val="center"/>
                </w:tcPr>
                <w:p>
                  <w:pPr>
                    <w:jc w:val="center"/>
                    <w:rPr>
                      <w:color w:val="auto"/>
                      <w:szCs w:val="21"/>
                    </w:rPr>
                  </w:pPr>
                  <w:r>
                    <w:rPr>
                      <w:rFonts w:hint="eastAsia"/>
                      <w:color w:val="auto"/>
                      <w:szCs w:val="21"/>
                    </w:rPr>
                    <w:t>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noWrap w:val="0"/>
                  <w:vAlign w:val="center"/>
                </w:tcPr>
                <w:p>
                  <w:pPr>
                    <w:jc w:val="center"/>
                    <w:rPr>
                      <w:rFonts w:hint="eastAsia"/>
                      <w:color w:val="auto"/>
                      <w:szCs w:val="21"/>
                    </w:rPr>
                  </w:pPr>
                </w:p>
              </w:tc>
              <w:tc>
                <w:tcPr>
                  <w:tcW w:w="1044" w:type="dxa"/>
                  <w:noWrap w:val="0"/>
                  <w:vAlign w:val="center"/>
                </w:tcPr>
                <w:p>
                  <w:pPr>
                    <w:snapToGrid w:val="0"/>
                    <w:jc w:val="center"/>
                    <w:rPr>
                      <w:color w:val="auto"/>
                      <w:szCs w:val="21"/>
                    </w:rPr>
                  </w:pPr>
                  <w:r>
                    <w:rPr>
                      <w:rFonts w:hint="eastAsia"/>
                      <w:color w:val="auto"/>
                      <w:szCs w:val="21"/>
                    </w:rPr>
                    <w:t>第2次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0.07</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0.005</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27.6</w:t>
                  </w:r>
                </w:p>
              </w:tc>
              <w:tc>
                <w:tcPr>
                  <w:tcW w:w="811" w:type="dxa"/>
                  <w:noWrap w:val="0"/>
                  <w:vAlign w:val="center"/>
                </w:tcPr>
                <w:p>
                  <w:pPr>
                    <w:jc w:val="center"/>
                    <w:rPr>
                      <w:color w:val="auto"/>
                      <w:szCs w:val="21"/>
                    </w:rPr>
                  </w:pPr>
                  <w:r>
                    <w:rPr>
                      <w:rFonts w:hint="eastAsia"/>
                      <w:color w:val="auto"/>
                      <w:szCs w:val="21"/>
                    </w:rPr>
                    <w:t>95.4</w:t>
                  </w:r>
                </w:p>
              </w:tc>
              <w:tc>
                <w:tcPr>
                  <w:tcW w:w="769" w:type="dxa"/>
                  <w:noWrap w:val="0"/>
                  <w:vAlign w:val="center"/>
                </w:tcPr>
                <w:p>
                  <w:pPr>
                    <w:jc w:val="center"/>
                    <w:rPr>
                      <w:color w:val="auto"/>
                      <w:szCs w:val="21"/>
                    </w:rPr>
                  </w:pPr>
                  <w:r>
                    <w:rPr>
                      <w:rFonts w:hint="eastAsia"/>
                      <w:color w:val="auto"/>
                      <w:szCs w:val="21"/>
                    </w:rPr>
                    <w:t>1.5</w:t>
                  </w:r>
                </w:p>
              </w:tc>
              <w:tc>
                <w:tcPr>
                  <w:tcW w:w="761" w:type="dxa"/>
                  <w:noWrap w:val="0"/>
                  <w:vAlign w:val="center"/>
                </w:tcPr>
                <w:p>
                  <w:pPr>
                    <w:jc w:val="center"/>
                    <w:rPr>
                      <w:color w:val="auto"/>
                      <w:szCs w:val="21"/>
                    </w:rPr>
                  </w:pPr>
                  <w:r>
                    <w:rPr>
                      <w:rFonts w:hint="eastAsia"/>
                      <w:color w:val="auto"/>
                      <w:szCs w:val="21"/>
                    </w:rPr>
                    <w:t>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noWrap w:val="0"/>
                  <w:vAlign w:val="center"/>
                </w:tcPr>
                <w:p>
                  <w:pPr>
                    <w:jc w:val="center"/>
                    <w:rPr>
                      <w:rFonts w:hint="eastAsia"/>
                      <w:color w:val="auto"/>
                      <w:szCs w:val="21"/>
                    </w:rPr>
                  </w:pPr>
                </w:p>
              </w:tc>
              <w:tc>
                <w:tcPr>
                  <w:tcW w:w="1044" w:type="dxa"/>
                  <w:noWrap w:val="0"/>
                  <w:vAlign w:val="center"/>
                </w:tcPr>
                <w:p>
                  <w:pPr>
                    <w:snapToGrid w:val="0"/>
                    <w:jc w:val="center"/>
                    <w:rPr>
                      <w:rFonts w:hint="eastAsia"/>
                      <w:color w:val="auto"/>
                      <w:szCs w:val="21"/>
                    </w:rPr>
                  </w:pPr>
                  <w:r>
                    <w:rPr>
                      <w:rFonts w:hint="eastAsia"/>
                      <w:color w:val="auto"/>
                      <w:szCs w:val="21"/>
                    </w:rPr>
                    <w:t>第3次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0.06</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0.004</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19.7</w:t>
                  </w:r>
                </w:p>
              </w:tc>
              <w:tc>
                <w:tcPr>
                  <w:tcW w:w="811" w:type="dxa"/>
                  <w:noWrap w:val="0"/>
                  <w:vAlign w:val="center"/>
                </w:tcPr>
                <w:p>
                  <w:pPr>
                    <w:jc w:val="center"/>
                    <w:rPr>
                      <w:color w:val="auto"/>
                      <w:szCs w:val="21"/>
                    </w:rPr>
                  </w:pPr>
                  <w:r>
                    <w:rPr>
                      <w:rFonts w:hint="eastAsia"/>
                      <w:color w:val="auto"/>
                      <w:szCs w:val="21"/>
                    </w:rPr>
                    <w:t>95.4</w:t>
                  </w:r>
                </w:p>
              </w:tc>
              <w:tc>
                <w:tcPr>
                  <w:tcW w:w="769" w:type="dxa"/>
                  <w:noWrap w:val="0"/>
                  <w:vAlign w:val="center"/>
                </w:tcPr>
                <w:p>
                  <w:pPr>
                    <w:jc w:val="center"/>
                    <w:rPr>
                      <w:color w:val="auto"/>
                      <w:szCs w:val="21"/>
                    </w:rPr>
                  </w:pPr>
                  <w:r>
                    <w:rPr>
                      <w:rFonts w:hint="eastAsia"/>
                      <w:color w:val="auto"/>
                      <w:szCs w:val="21"/>
                    </w:rPr>
                    <w:t>1.1</w:t>
                  </w:r>
                </w:p>
              </w:tc>
              <w:tc>
                <w:tcPr>
                  <w:tcW w:w="761" w:type="dxa"/>
                  <w:noWrap w:val="0"/>
                  <w:vAlign w:val="center"/>
                </w:tcPr>
                <w:p>
                  <w:pPr>
                    <w:jc w:val="center"/>
                    <w:rPr>
                      <w:color w:val="auto"/>
                      <w:szCs w:val="21"/>
                    </w:rPr>
                  </w:pPr>
                  <w:r>
                    <w:rPr>
                      <w:rFonts w:hint="eastAsia"/>
                      <w:color w:val="auto"/>
                      <w:szCs w:val="21"/>
                    </w:rPr>
                    <w:t>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tcBorders>
                    <w:bottom w:val="single" w:color="auto" w:sz="4" w:space="0"/>
                  </w:tcBorders>
                  <w:noWrap w:val="0"/>
                  <w:vAlign w:val="center"/>
                </w:tcPr>
                <w:p>
                  <w:pPr>
                    <w:jc w:val="center"/>
                    <w:rPr>
                      <w:rFonts w:hint="eastAsia"/>
                      <w:color w:val="auto"/>
                      <w:szCs w:val="21"/>
                    </w:rPr>
                  </w:pPr>
                </w:p>
              </w:tc>
              <w:tc>
                <w:tcPr>
                  <w:tcW w:w="1044" w:type="dxa"/>
                  <w:noWrap w:val="0"/>
                  <w:vAlign w:val="center"/>
                </w:tcPr>
                <w:p>
                  <w:pPr>
                    <w:snapToGrid w:val="0"/>
                    <w:jc w:val="center"/>
                    <w:rPr>
                      <w:rFonts w:hint="eastAsia"/>
                      <w:color w:val="auto"/>
                      <w:szCs w:val="21"/>
                    </w:rPr>
                  </w:pPr>
                  <w:r>
                    <w:rPr>
                      <w:rFonts w:hint="eastAsia"/>
                      <w:color w:val="auto"/>
                      <w:szCs w:val="21"/>
                    </w:rPr>
                    <w:t>第4次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0.05</w:t>
                  </w:r>
                </w:p>
              </w:tc>
              <w:tc>
                <w:tcPr>
                  <w:tcW w:w="1002" w:type="dxa"/>
                  <w:noWrap w:val="0"/>
                  <w:vAlign w:val="center"/>
                </w:tcPr>
                <w:p>
                  <w:pPr>
                    <w:jc w:val="center"/>
                    <w:rPr>
                      <w:rFonts w:hint="default" w:eastAsia="宋体"/>
                      <w:color w:val="auto"/>
                      <w:szCs w:val="21"/>
                      <w:lang w:val="en-US" w:eastAsia="zh-CN"/>
                    </w:rPr>
                  </w:pPr>
                  <w:r>
                    <w:rPr>
                      <w:rFonts w:hint="eastAsia"/>
                      <w:color w:val="auto"/>
                      <w:szCs w:val="21"/>
                      <w:lang w:val="en-US" w:eastAsia="zh-CN"/>
                    </w:rPr>
                    <w:t>0.003</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11.9</w:t>
                  </w:r>
                </w:p>
              </w:tc>
              <w:tc>
                <w:tcPr>
                  <w:tcW w:w="811" w:type="dxa"/>
                  <w:noWrap w:val="0"/>
                  <w:vAlign w:val="center"/>
                </w:tcPr>
                <w:p>
                  <w:pPr>
                    <w:jc w:val="center"/>
                    <w:rPr>
                      <w:color w:val="auto"/>
                      <w:szCs w:val="21"/>
                    </w:rPr>
                  </w:pPr>
                  <w:r>
                    <w:rPr>
                      <w:rFonts w:hint="eastAsia"/>
                      <w:color w:val="auto"/>
                      <w:szCs w:val="21"/>
                    </w:rPr>
                    <w:t>95.4</w:t>
                  </w:r>
                </w:p>
              </w:tc>
              <w:tc>
                <w:tcPr>
                  <w:tcW w:w="769" w:type="dxa"/>
                  <w:noWrap w:val="0"/>
                  <w:vAlign w:val="center"/>
                </w:tcPr>
                <w:p>
                  <w:pPr>
                    <w:jc w:val="center"/>
                    <w:rPr>
                      <w:color w:val="auto"/>
                      <w:szCs w:val="21"/>
                    </w:rPr>
                  </w:pPr>
                  <w:r>
                    <w:rPr>
                      <w:rFonts w:hint="eastAsia"/>
                      <w:color w:val="auto"/>
                      <w:szCs w:val="21"/>
                    </w:rPr>
                    <w:t>1.4</w:t>
                  </w:r>
                </w:p>
              </w:tc>
              <w:tc>
                <w:tcPr>
                  <w:tcW w:w="761" w:type="dxa"/>
                  <w:noWrap w:val="0"/>
                  <w:vAlign w:val="center"/>
                </w:tcPr>
                <w:p>
                  <w:pPr>
                    <w:jc w:val="center"/>
                    <w:rPr>
                      <w:color w:val="auto"/>
                      <w:szCs w:val="21"/>
                    </w:rPr>
                  </w:pPr>
                  <w:r>
                    <w:rPr>
                      <w:rFonts w:hint="eastAsia"/>
                      <w:color w:val="auto"/>
                      <w:szCs w:val="21"/>
                    </w:rPr>
                    <w:t>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restart"/>
                  <w:tcBorders>
                    <w:top w:val="single" w:color="auto" w:sz="4" w:space="0"/>
                  </w:tcBorders>
                  <w:noWrap w:val="0"/>
                  <w:vAlign w:val="center"/>
                </w:tcPr>
                <w:p>
                  <w:pPr>
                    <w:jc w:val="center"/>
                    <w:rPr>
                      <w:rFonts w:hint="default" w:eastAsia="宋体"/>
                      <w:color w:val="auto"/>
                      <w:szCs w:val="21"/>
                      <w:lang w:val="en-US" w:eastAsia="zh-CN"/>
                    </w:rPr>
                  </w:pPr>
                  <w:r>
                    <w:rPr>
                      <w:rFonts w:hint="eastAsia"/>
                      <w:color w:val="auto"/>
                      <w:szCs w:val="21"/>
                      <w:lang w:val="en-US" w:eastAsia="zh-CN"/>
                    </w:rPr>
                    <w:t>4.21</w:t>
                  </w:r>
                </w:p>
              </w:tc>
              <w:tc>
                <w:tcPr>
                  <w:tcW w:w="1044" w:type="dxa"/>
                  <w:noWrap w:val="0"/>
                  <w:vAlign w:val="center"/>
                </w:tcPr>
                <w:p>
                  <w:pPr>
                    <w:snapToGrid w:val="0"/>
                    <w:jc w:val="center"/>
                    <w:rPr>
                      <w:rFonts w:hint="eastAsia"/>
                      <w:color w:val="auto"/>
                      <w:szCs w:val="21"/>
                    </w:rPr>
                  </w:pPr>
                  <w:r>
                    <w:rPr>
                      <w:rFonts w:hint="eastAsia"/>
                      <w:color w:val="auto"/>
                      <w:szCs w:val="21"/>
                    </w:rPr>
                    <w:t>第1次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0.06</w:t>
                  </w:r>
                </w:p>
              </w:tc>
              <w:tc>
                <w:tcPr>
                  <w:tcW w:w="1002"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0.004</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16.8</w:t>
                  </w:r>
                </w:p>
              </w:tc>
              <w:tc>
                <w:tcPr>
                  <w:tcW w:w="811" w:type="dxa"/>
                  <w:noWrap w:val="0"/>
                  <w:vAlign w:val="center"/>
                </w:tcPr>
                <w:p>
                  <w:pPr>
                    <w:jc w:val="center"/>
                    <w:rPr>
                      <w:color w:val="auto"/>
                      <w:szCs w:val="21"/>
                    </w:rPr>
                  </w:pPr>
                  <w:r>
                    <w:rPr>
                      <w:rFonts w:hint="eastAsia"/>
                      <w:color w:val="auto"/>
                      <w:szCs w:val="21"/>
                    </w:rPr>
                    <w:t>95.5</w:t>
                  </w:r>
                </w:p>
              </w:tc>
              <w:tc>
                <w:tcPr>
                  <w:tcW w:w="769" w:type="dxa"/>
                  <w:noWrap w:val="0"/>
                  <w:vAlign w:val="center"/>
                </w:tcPr>
                <w:p>
                  <w:pPr>
                    <w:jc w:val="center"/>
                    <w:rPr>
                      <w:color w:val="auto"/>
                      <w:szCs w:val="21"/>
                    </w:rPr>
                  </w:pPr>
                  <w:r>
                    <w:rPr>
                      <w:rFonts w:hint="eastAsia"/>
                      <w:color w:val="auto"/>
                      <w:szCs w:val="21"/>
                    </w:rPr>
                    <w:t>1.1</w:t>
                  </w:r>
                </w:p>
              </w:tc>
              <w:tc>
                <w:tcPr>
                  <w:tcW w:w="761" w:type="dxa"/>
                  <w:noWrap w:val="0"/>
                  <w:vAlign w:val="center"/>
                </w:tcPr>
                <w:p>
                  <w:pPr>
                    <w:jc w:val="center"/>
                    <w:rPr>
                      <w:color w:val="auto"/>
                      <w:szCs w:val="21"/>
                    </w:rPr>
                  </w:pPr>
                  <w:r>
                    <w:rPr>
                      <w:rFonts w:hint="eastAsia"/>
                      <w:color w:val="auto"/>
                      <w:szCs w:val="21"/>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noWrap w:val="0"/>
                  <w:vAlign w:val="center"/>
                </w:tcPr>
                <w:p>
                  <w:pPr>
                    <w:jc w:val="center"/>
                    <w:rPr>
                      <w:rFonts w:hint="eastAsia"/>
                      <w:color w:val="auto"/>
                      <w:szCs w:val="21"/>
                    </w:rPr>
                  </w:pPr>
                </w:p>
              </w:tc>
              <w:tc>
                <w:tcPr>
                  <w:tcW w:w="1044" w:type="dxa"/>
                  <w:noWrap w:val="0"/>
                  <w:vAlign w:val="center"/>
                </w:tcPr>
                <w:p>
                  <w:pPr>
                    <w:snapToGrid w:val="0"/>
                    <w:jc w:val="center"/>
                    <w:rPr>
                      <w:rFonts w:hint="eastAsia"/>
                      <w:color w:val="auto"/>
                      <w:szCs w:val="21"/>
                    </w:rPr>
                  </w:pPr>
                  <w:r>
                    <w:rPr>
                      <w:rFonts w:hint="eastAsia"/>
                      <w:color w:val="auto"/>
                      <w:szCs w:val="21"/>
                    </w:rPr>
                    <w:t>第2次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0.07</w:t>
                  </w:r>
                </w:p>
              </w:tc>
              <w:tc>
                <w:tcPr>
                  <w:tcW w:w="1002"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0.004</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28.4</w:t>
                  </w:r>
                </w:p>
              </w:tc>
              <w:tc>
                <w:tcPr>
                  <w:tcW w:w="811" w:type="dxa"/>
                  <w:noWrap w:val="0"/>
                  <w:vAlign w:val="center"/>
                </w:tcPr>
                <w:p>
                  <w:pPr>
                    <w:jc w:val="center"/>
                    <w:rPr>
                      <w:color w:val="auto"/>
                      <w:szCs w:val="21"/>
                    </w:rPr>
                  </w:pPr>
                  <w:r>
                    <w:rPr>
                      <w:rFonts w:hint="eastAsia"/>
                      <w:color w:val="auto"/>
                      <w:szCs w:val="21"/>
                    </w:rPr>
                    <w:t>95.4</w:t>
                  </w:r>
                </w:p>
              </w:tc>
              <w:tc>
                <w:tcPr>
                  <w:tcW w:w="769" w:type="dxa"/>
                  <w:noWrap w:val="0"/>
                  <w:vAlign w:val="center"/>
                </w:tcPr>
                <w:p>
                  <w:pPr>
                    <w:jc w:val="center"/>
                    <w:rPr>
                      <w:color w:val="auto"/>
                      <w:szCs w:val="21"/>
                    </w:rPr>
                  </w:pPr>
                  <w:r>
                    <w:rPr>
                      <w:rFonts w:hint="eastAsia"/>
                      <w:color w:val="auto"/>
                      <w:szCs w:val="21"/>
                    </w:rPr>
                    <w:t>1.3</w:t>
                  </w:r>
                </w:p>
              </w:tc>
              <w:tc>
                <w:tcPr>
                  <w:tcW w:w="761" w:type="dxa"/>
                  <w:noWrap w:val="0"/>
                  <w:vAlign w:val="center"/>
                </w:tcPr>
                <w:p>
                  <w:pPr>
                    <w:jc w:val="center"/>
                    <w:rPr>
                      <w:color w:val="auto"/>
                      <w:szCs w:val="21"/>
                    </w:rPr>
                  </w:pPr>
                  <w:r>
                    <w:rPr>
                      <w:rFonts w:hint="eastAsia"/>
                      <w:color w:val="auto"/>
                      <w:szCs w:val="21"/>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18" w:type="dxa"/>
                  <w:vMerge w:val="continue"/>
                  <w:noWrap w:val="0"/>
                  <w:vAlign w:val="center"/>
                </w:tcPr>
                <w:p>
                  <w:pPr>
                    <w:snapToGrid w:val="0"/>
                    <w:jc w:val="center"/>
                    <w:rPr>
                      <w:color w:val="auto"/>
                      <w:szCs w:val="21"/>
                    </w:rPr>
                  </w:pPr>
                </w:p>
              </w:tc>
              <w:tc>
                <w:tcPr>
                  <w:tcW w:w="795" w:type="dxa"/>
                  <w:vMerge w:val="continue"/>
                  <w:noWrap w:val="0"/>
                  <w:vAlign w:val="center"/>
                </w:tcPr>
                <w:p>
                  <w:pPr>
                    <w:jc w:val="center"/>
                    <w:rPr>
                      <w:rFonts w:hint="eastAsia"/>
                      <w:color w:val="auto"/>
                      <w:szCs w:val="21"/>
                    </w:rPr>
                  </w:pPr>
                </w:p>
              </w:tc>
              <w:tc>
                <w:tcPr>
                  <w:tcW w:w="1044" w:type="dxa"/>
                  <w:noWrap w:val="0"/>
                  <w:vAlign w:val="center"/>
                </w:tcPr>
                <w:p>
                  <w:pPr>
                    <w:snapToGrid w:val="0"/>
                    <w:jc w:val="center"/>
                    <w:rPr>
                      <w:rFonts w:hint="eastAsia"/>
                      <w:color w:val="auto"/>
                      <w:szCs w:val="21"/>
                    </w:rPr>
                  </w:pPr>
                  <w:r>
                    <w:rPr>
                      <w:rFonts w:hint="eastAsia"/>
                      <w:color w:val="auto"/>
                      <w:szCs w:val="21"/>
                    </w:rPr>
                    <w:t>第3次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0.06</w:t>
                  </w:r>
                </w:p>
              </w:tc>
              <w:tc>
                <w:tcPr>
                  <w:tcW w:w="1002" w:type="dxa"/>
                  <w:noWrap w:val="0"/>
                  <w:vAlign w:val="center"/>
                </w:tcPr>
                <w:p>
                  <w:pPr>
                    <w:jc w:val="center"/>
                    <w:rPr>
                      <w:color w:val="auto"/>
                      <w:szCs w:val="21"/>
                    </w:rPr>
                  </w:pPr>
                  <w:r>
                    <w:rPr>
                      <w:rFonts w:hint="eastAsia"/>
                      <w:color w:val="auto"/>
                      <w:szCs w:val="21"/>
                      <w:lang w:val="en-US" w:eastAsia="zh-CN"/>
                    </w:rPr>
                    <w:t>0.005</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20.2</w:t>
                  </w:r>
                </w:p>
              </w:tc>
              <w:tc>
                <w:tcPr>
                  <w:tcW w:w="811" w:type="dxa"/>
                  <w:noWrap w:val="0"/>
                  <w:vAlign w:val="center"/>
                </w:tcPr>
                <w:p>
                  <w:pPr>
                    <w:jc w:val="center"/>
                    <w:rPr>
                      <w:color w:val="auto"/>
                      <w:szCs w:val="21"/>
                    </w:rPr>
                  </w:pPr>
                  <w:r>
                    <w:rPr>
                      <w:rFonts w:hint="eastAsia"/>
                      <w:color w:val="auto"/>
                      <w:szCs w:val="21"/>
                    </w:rPr>
                    <w:t>95.4</w:t>
                  </w:r>
                </w:p>
              </w:tc>
              <w:tc>
                <w:tcPr>
                  <w:tcW w:w="769" w:type="dxa"/>
                  <w:noWrap w:val="0"/>
                  <w:vAlign w:val="center"/>
                </w:tcPr>
                <w:p>
                  <w:pPr>
                    <w:jc w:val="center"/>
                    <w:rPr>
                      <w:color w:val="auto"/>
                      <w:szCs w:val="21"/>
                    </w:rPr>
                  </w:pPr>
                  <w:r>
                    <w:rPr>
                      <w:rFonts w:hint="eastAsia"/>
                      <w:color w:val="auto"/>
                      <w:szCs w:val="21"/>
                    </w:rPr>
                    <w:t>1.5</w:t>
                  </w:r>
                </w:p>
              </w:tc>
              <w:tc>
                <w:tcPr>
                  <w:tcW w:w="761" w:type="dxa"/>
                  <w:noWrap w:val="0"/>
                  <w:vAlign w:val="center"/>
                </w:tcPr>
                <w:p>
                  <w:pPr>
                    <w:jc w:val="center"/>
                    <w:rPr>
                      <w:color w:val="auto"/>
                      <w:szCs w:val="21"/>
                    </w:rPr>
                  </w:pPr>
                  <w:r>
                    <w:rPr>
                      <w:rFonts w:hint="eastAsia"/>
                      <w:color w:val="auto"/>
                      <w:szCs w:val="21"/>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18" w:type="dxa"/>
                  <w:vMerge w:val="continue"/>
                  <w:noWrap w:val="0"/>
                  <w:vAlign w:val="center"/>
                </w:tcPr>
                <w:p>
                  <w:pPr>
                    <w:snapToGrid w:val="0"/>
                    <w:jc w:val="center"/>
                    <w:rPr>
                      <w:color w:val="auto"/>
                      <w:szCs w:val="21"/>
                    </w:rPr>
                  </w:pPr>
                </w:p>
              </w:tc>
              <w:tc>
                <w:tcPr>
                  <w:tcW w:w="795" w:type="dxa"/>
                  <w:vMerge w:val="continue"/>
                  <w:tcBorders>
                    <w:bottom w:val="single" w:color="auto" w:sz="4" w:space="0"/>
                  </w:tcBorders>
                  <w:noWrap w:val="0"/>
                  <w:vAlign w:val="center"/>
                </w:tcPr>
                <w:p>
                  <w:pPr>
                    <w:jc w:val="center"/>
                    <w:rPr>
                      <w:rFonts w:hint="eastAsia"/>
                      <w:color w:val="auto"/>
                      <w:szCs w:val="21"/>
                    </w:rPr>
                  </w:pPr>
                </w:p>
              </w:tc>
              <w:tc>
                <w:tcPr>
                  <w:tcW w:w="1044" w:type="dxa"/>
                  <w:noWrap w:val="0"/>
                  <w:vAlign w:val="center"/>
                </w:tcPr>
                <w:p>
                  <w:pPr>
                    <w:snapToGrid w:val="0"/>
                    <w:jc w:val="center"/>
                    <w:rPr>
                      <w:rFonts w:hint="eastAsia"/>
                      <w:color w:val="auto"/>
                      <w:szCs w:val="21"/>
                    </w:rPr>
                  </w:pPr>
                  <w:r>
                    <w:rPr>
                      <w:rFonts w:hint="eastAsia"/>
                      <w:color w:val="auto"/>
                      <w:szCs w:val="21"/>
                    </w:rPr>
                    <w:t>第4次</w:t>
                  </w:r>
                </w:p>
              </w:tc>
              <w:tc>
                <w:tcPr>
                  <w:tcW w:w="1001" w:type="dxa"/>
                  <w:noWrap w:val="0"/>
                  <w:vAlign w:val="center"/>
                </w:tcPr>
                <w:p>
                  <w:pPr>
                    <w:jc w:val="center"/>
                    <w:rPr>
                      <w:rFonts w:hint="default"/>
                      <w:color w:val="auto"/>
                      <w:szCs w:val="21"/>
                      <w:lang w:val="en-US"/>
                    </w:rPr>
                  </w:pPr>
                  <w:r>
                    <w:rPr>
                      <w:rFonts w:hint="eastAsia"/>
                      <w:color w:val="auto"/>
                      <w:szCs w:val="21"/>
                      <w:lang w:val="en-US" w:eastAsia="zh-CN"/>
                    </w:rPr>
                    <w:t>0.07</w:t>
                  </w:r>
                </w:p>
              </w:tc>
              <w:tc>
                <w:tcPr>
                  <w:tcW w:w="1002" w:type="dxa"/>
                  <w:noWrap w:val="0"/>
                  <w:vAlign w:val="center"/>
                </w:tcPr>
                <w:p>
                  <w:pPr>
                    <w:jc w:val="center"/>
                    <w:rPr>
                      <w:color w:val="auto"/>
                      <w:szCs w:val="21"/>
                    </w:rPr>
                  </w:pPr>
                  <w:r>
                    <w:rPr>
                      <w:rFonts w:hint="eastAsia"/>
                      <w:color w:val="auto"/>
                      <w:szCs w:val="21"/>
                      <w:lang w:val="en-US" w:eastAsia="zh-CN"/>
                    </w:rPr>
                    <w:t>0.005</w:t>
                  </w:r>
                </w:p>
              </w:tc>
              <w:tc>
                <w:tcPr>
                  <w:tcW w:w="759" w:type="dxa"/>
                  <w:noWrap w:val="0"/>
                  <w:vAlign w:val="center"/>
                </w:tcPr>
                <w:p>
                  <w:pPr>
                    <w:jc w:val="center"/>
                    <w:rPr>
                      <w:rFonts w:hint="default" w:eastAsia="宋体"/>
                      <w:color w:val="auto"/>
                      <w:szCs w:val="21"/>
                      <w:lang w:val="en-US" w:eastAsia="zh-CN"/>
                    </w:rPr>
                  </w:pPr>
                  <w:r>
                    <w:rPr>
                      <w:rFonts w:hint="eastAsia"/>
                      <w:color w:val="auto"/>
                      <w:szCs w:val="21"/>
                      <w:lang w:val="en-US" w:eastAsia="zh-CN"/>
                    </w:rPr>
                    <w:t>15.4</w:t>
                  </w:r>
                </w:p>
              </w:tc>
              <w:tc>
                <w:tcPr>
                  <w:tcW w:w="811" w:type="dxa"/>
                  <w:noWrap w:val="0"/>
                  <w:vAlign w:val="center"/>
                </w:tcPr>
                <w:p>
                  <w:pPr>
                    <w:jc w:val="center"/>
                    <w:rPr>
                      <w:color w:val="auto"/>
                      <w:szCs w:val="21"/>
                    </w:rPr>
                  </w:pPr>
                  <w:r>
                    <w:rPr>
                      <w:rFonts w:hint="eastAsia"/>
                      <w:color w:val="auto"/>
                      <w:szCs w:val="21"/>
                    </w:rPr>
                    <w:t>95.5</w:t>
                  </w:r>
                </w:p>
              </w:tc>
              <w:tc>
                <w:tcPr>
                  <w:tcW w:w="769" w:type="dxa"/>
                  <w:noWrap w:val="0"/>
                  <w:vAlign w:val="center"/>
                </w:tcPr>
                <w:p>
                  <w:pPr>
                    <w:jc w:val="center"/>
                    <w:rPr>
                      <w:color w:val="auto"/>
                      <w:szCs w:val="21"/>
                    </w:rPr>
                  </w:pPr>
                  <w:r>
                    <w:rPr>
                      <w:rFonts w:hint="eastAsia"/>
                      <w:color w:val="auto"/>
                      <w:szCs w:val="21"/>
                    </w:rPr>
                    <w:t>1.8</w:t>
                  </w:r>
                </w:p>
              </w:tc>
              <w:tc>
                <w:tcPr>
                  <w:tcW w:w="761" w:type="dxa"/>
                  <w:noWrap w:val="0"/>
                  <w:vAlign w:val="center"/>
                </w:tcPr>
                <w:p>
                  <w:pPr>
                    <w:jc w:val="center"/>
                    <w:rPr>
                      <w:color w:val="auto"/>
                      <w:szCs w:val="21"/>
                    </w:rPr>
                  </w:pPr>
                  <w:r>
                    <w:rPr>
                      <w:rFonts w:hint="eastAsia"/>
                      <w:color w:val="auto"/>
                      <w:szCs w:val="21"/>
                    </w:rPr>
                    <w:t>东南</w:t>
                  </w:r>
                </w:p>
              </w:tc>
            </w:tr>
          </w:tbl>
          <w:p>
            <w:pPr>
              <w:tabs>
                <w:tab w:val="left" w:pos="3555"/>
              </w:tabs>
              <w:spacing w:line="360" w:lineRule="auto"/>
              <w:ind w:firstLine="480" w:firstLineChars="200"/>
              <w:rPr>
                <w:rFonts w:hint="eastAsia"/>
                <w:color w:val="auto"/>
                <w:sz w:val="24"/>
                <w:szCs w:val="24"/>
              </w:rPr>
            </w:pPr>
            <w:r>
              <w:rPr>
                <w:rFonts w:hint="eastAsia"/>
                <w:color w:val="auto"/>
                <w:sz w:val="24"/>
                <w:szCs w:val="24"/>
              </w:rPr>
              <w:t>监测结果表明</w:t>
            </w:r>
            <w:r>
              <w:rPr>
                <w:color w:val="auto"/>
                <w:sz w:val="24"/>
                <w:szCs w:val="24"/>
              </w:rPr>
              <w:t>，项目所在地环境空气中</w:t>
            </w:r>
            <w:r>
              <w:rPr>
                <w:rFonts w:hint="eastAsia"/>
                <w:color w:val="auto"/>
                <w:kern w:val="0"/>
                <w:sz w:val="24"/>
                <w:szCs w:val="24"/>
              </w:rPr>
              <w:t>硫化氢和氨</w:t>
            </w:r>
            <w:r>
              <w:rPr>
                <w:rFonts w:hint="eastAsia"/>
                <w:color w:val="auto"/>
                <w:sz w:val="24"/>
                <w:szCs w:val="24"/>
              </w:rPr>
              <w:t>满足</w:t>
            </w:r>
            <w:r>
              <w:rPr>
                <w:color w:val="auto"/>
                <w:sz w:val="24"/>
                <w:szCs w:val="24"/>
                <w:shd w:val="clear" w:color="auto" w:fill="FFFFFF"/>
              </w:rPr>
              <w:t>《</w:t>
            </w:r>
            <w:r>
              <w:rPr>
                <w:rFonts w:hint="eastAsia"/>
                <w:color w:val="auto"/>
                <w:sz w:val="24"/>
                <w:szCs w:val="24"/>
                <w:shd w:val="clear" w:color="auto" w:fill="FFFFFF"/>
              </w:rPr>
              <w:t>环境影响评价技术导则 大气环境</w:t>
            </w:r>
            <w:r>
              <w:rPr>
                <w:color w:val="auto"/>
                <w:sz w:val="24"/>
                <w:szCs w:val="24"/>
                <w:shd w:val="clear" w:color="auto" w:fill="FFFFFF"/>
              </w:rPr>
              <w:t>》</w:t>
            </w:r>
            <w:r>
              <w:rPr>
                <w:rFonts w:hint="eastAsia"/>
                <w:color w:val="auto"/>
                <w:sz w:val="24"/>
                <w:szCs w:val="24"/>
                <w:shd w:val="clear" w:color="auto" w:fill="FFFFFF"/>
              </w:rPr>
              <w:t>（HJ2.2-2018）中的附录D中1</w:t>
            </w:r>
            <w:r>
              <w:rPr>
                <w:rFonts w:hint="eastAsia"/>
                <w:color w:val="auto"/>
                <w:sz w:val="24"/>
                <w:szCs w:val="24"/>
              </w:rPr>
              <w:t>小时值。</w:t>
            </w:r>
          </w:p>
          <w:p>
            <w:pPr>
              <w:spacing w:line="360" w:lineRule="auto"/>
              <w:ind w:firstLine="482" w:firstLineChars="200"/>
              <w:rPr>
                <w:b/>
                <w:snapToGrid w:val="0"/>
                <w:color w:val="auto"/>
                <w:kern w:val="0"/>
                <w:sz w:val="24"/>
                <w:szCs w:val="24"/>
                <w:lang w:val="en-GB"/>
              </w:rPr>
            </w:pPr>
            <w:r>
              <w:rPr>
                <w:rFonts w:hint="eastAsia"/>
                <w:b/>
                <w:snapToGrid w:val="0"/>
                <w:color w:val="auto"/>
                <w:kern w:val="0"/>
                <w:sz w:val="24"/>
                <w:szCs w:val="24"/>
              </w:rPr>
              <w:t>2</w:t>
            </w:r>
            <w:r>
              <w:rPr>
                <w:b/>
                <w:snapToGrid w:val="0"/>
                <w:color w:val="auto"/>
                <w:kern w:val="0"/>
                <w:sz w:val="24"/>
                <w:szCs w:val="24"/>
                <w:lang w:val="en-GB"/>
              </w:rPr>
              <w:t>、声环境质量现状</w:t>
            </w:r>
          </w:p>
          <w:p>
            <w:pPr>
              <w:pStyle w:val="42"/>
              <w:widowControl/>
              <w:spacing w:line="360" w:lineRule="auto"/>
              <w:ind w:firstLine="480" w:firstLineChars="200"/>
              <w:jc w:val="both"/>
              <w:rPr>
                <w:rFonts w:ascii="Times New Roman" w:hAnsi="Times New Roman" w:eastAsia="宋体"/>
                <w:color w:val="auto"/>
                <w:sz w:val="24"/>
                <w:szCs w:val="24"/>
              </w:rPr>
            </w:pPr>
            <w:r>
              <w:rPr>
                <w:rFonts w:hint="eastAsia" w:ascii="Times New Roman" w:hAnsi="Times New Roman" w:eastAsia="宋体"/>
                <w:color w:val="auto"/>
                <w:sz w:val="24"/>
                <w:szCs w:val="24"/>
              </w:rPr>
              <w:t>为了解项目建设地的声环境现状，</w:t>
            </w:r>
            <w:r>
              <w:rPr>
                <w:rFonts w:ascii="Times New Roman" w:hAnsi="Times New Roman" w:eastAsia="宋体"/>
                <w:color w:val="auto"/>
                <w:sz w:val="24"/>
                <w:szCs w:val="24"/>
              </w:rPr>
              <w:t>本项目于20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20</w:t>
            </w:r>
            <w:r>
              <w:rPr>
                <w:rFonts w:ascii="Times New Roman" w:hAnsi="Times New Roman" w:eastAsia="宋体"/>
                <w:color w:val="auto"/>
                <w:sz w:val="24"/>
                <w:szCs w:val="24"/>
              </w:rPr>
              <w:t>日进行监测。</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（1）监测点位</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根据《环境影响评价技术导则</w:t>
            </w:r>
            <w:r>
              <w:rPr>
                <w:rFonts w:hint="eastAsia" w:ascii="Times New Roman" w:hAnsi="Times New Roman" w:eastAsia="宋体"/>
                <w:color w:val="auto"/>
                <w:sz w:val="24"/>
                <w:szCs w:val="24"/>
              </w:rPr>
              <w:t xml:space="preserve"> </w:t>
            </w:r>
            <w:r>
              <w:rPr>
                <w:rFonts w:ascii="Times New Roman" w:hAnsi="Times New Roman" w:eastAsia="宋体"/>
                <w:color w:val="auto"/>
                <w:sz w:val="24"/>
                <w:szCs w:val="24"/>
              </w:rPr>
              <w:t>声环境》</w:t>
            </w:r>
            <w:r>
              <w:rPr>
                <w:rFonts w:hint="eastAsia" w:ascii="Times New Roman" w:hAnsi="Times New Roman" w:eastAsia="宋体"/>
                <w:color w:val="auto"/>
                <w:sz w:val="24"/>
                <w:szCs w:val="24"/>
              </w:rPr>
              <w:t>及《建设项目环境影响报告表  污染影响类》（2021年版）</w:t>
            </w:r>
            <w:r>
              <w:rPr>
                <w:rFonts w:ascii="Times New Roman" w:hAnsi="Times New Roman" w:eastAsia="宋体"/>
                <w:color w:val="auto"/>
                <w:sz w:val="24"/>
                <w:szCs w:val="24"/>
              </w:rPr>
              <w:t>的要求，通过对项目厂界四周声环境调查和监测，分析项目所在区域声环境质量状况，</w:t>
            </w:r>
            <w:r>
              <w:rPr>
                <w:rFonts w:hint="eastAsia" w:ascii="Times New Roman" w:hAnsi="Times New Roman" w:eastAsia="宋体"/>
                <w:color w:val="auto"/>
                <w:sz w:val="24"/>
                <w:szCs w:val="24"/>
              </w:rPr>
              <w:t>在厂界南侧、西侧、东侧和环境保护目标各设1个监测点位，共</w:t>
            </w:r>
            <w:r>
              <w:rPr>
                <w:rFonts w:hint="eastAsia" w:ascii="Times New Roman" w:hAnsi="Times New Roman"/>
                <w:color w:val="auto"/>
                <w:sz w:val="24"/>
                <w:szCs w:val="24"/>
                <w:lang w:val="en-US" w:eastAsia="zh-CN"/>
              </w:rPr>
              <w:t>6</w:t>
            </w:r>
            <w:r>
              <w:rPr>
                <w:rFonts w:hint="eastAsia" w:ascii="Times New Roman" w:hAnsi="Times New Roman" w:eastAsia="宋体"/>
                <w:color w:val="auto"/>
                <w:sz w:val="24"/>
                <w:szCs w:val="24"/>
              </w:rPr>
              <w:t>个监测点位</w:t>
            </w:r>
            <w:r>
              <w:rPr>
                <w:rFonts w:ascii="Times New Roman" w:hAnsi="Times New Roman" w:eastAsia="宋体"/>
                <w:color w:val="auto"/>
                <w:sz w:val="24"/>
                <w:szCs w:val="24"/>
              </w:rPr>
              <w:t>，监测点位图见附图</w:t>
            </w:r>
            <w:r>
              <w:rPr>
                <w:rFonts w:hint="eastAsia" w:ascii="Times New Roman" w:hAnsi="Times New Roman" w:eastAsia="宋体"/>
                <w:color w:val="auto"/>
                <w:sz w:val="24"/>
                <w:szCs w:val="24"/>
              </w:rPr>
              <w:t>4</w:t>
            </w:r>
            <w:r>
              <w:rPr>
                <w:rFonts w:ascii="Times New Roman" w:hAnsi="Times New Roman" w:eastAsia="宋体"/>
                <w:color w:val="auto"/>
                <w:sz w:val="24"/>
                <w:szCs w:val="24"/>
              </w:rPr>
              <w:t>。</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（2）监测时间</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202</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20</w:t>
            </w:r>
            <w:r>
              <w:rPr>
                <w:rFonts w:ascii="Times New Roman" w:hAnsi="Times New Roman" w:eastAsia="宋体"/>
                <w:color w:val="auto"/>
                <w:sz w:val="24"/>
                <w:szCs w:val="24"/>
              </w:rPr>
              <w:t>日，本项目</w:t>
            </w:r>
            <w:r>
              <w:rPr>
                <w:rFonts w:hint="eastAsia" w:ascii="Times New Roman" w:hAnsi="Times New Roman" w:eastAsia="宋体"/>
                <w:color w:val="auto"/>
                <w:sz w:val="24"/>
                <w:szCs w:val="24"/>
              </w:rPr>
              <w:t>委托西安</w:t>
            </w:r>
            <w:r>
              <w:rPr>
                <w:rFonts w:hint="eastAsia" w:ascii="Times New Roman" w:hAnsi="Times New Roman"/>
                <w:color w:val="auto"/>
                <w:sz w:val="24"/>
                <w:szCs w:val="24"/>
                <w:lang w:val="en-US" w:eastAsia="zh-CN"/>
              </w:rPr>
              <w:t>林泉环境检测</w:t>
            </w:r>
            <w:r>
              <w:rPr>
                <w:rFonts w:hint="eastAsia" w:ascii="Times New Roman" w:hAnsi="Times New Roman" w:eastAsia="宋体"/>
                <w:color w:val="auto"/>
                <w:sz w:val="24"/>
                <w:szCs w:val="24"/>
              </w:rPr>
              <w:t>有限公司进行了监测，</w:t>
            </w:r>
            <w:r>
              <w:rPr>
                <w:rFonts w:ascii="Times New Roman" w:hAnsi="Times New Roman" w:eastAsia="宋体"/>
                <w:color w:val="auto"/>
                <w:sz w:val="24"/>
                <w:szCs w:val="24"/>
              </w:rPr>
              <w:t>监测</w:t>
            </w:r>
            <w:r>
              <w:rPr>
                <w:rFonts w:hint="eastAsia" w:ascii="Times New Roman" w:hAnsi="Times New Roman" w:eastAsia="宋体"/>
                <w:color w:val="auto"/>
                <w:sz w:val="24"/>
                <w:szCs w:val="24"/>
              </w:rPr>
              <w:t>1</w:t>
            </w:r>
            <w:r>
              <w:rPr>
                <w:rFonts w:ascii="Times New Roman" w:hAnsi="Times New Roman" w:eastAsia="宋体"/>
                <w:color w:val="auto"/>
                <w:sz w:val="24"/>
                <w:szCs w:val="24"/>
              </w:rPr>
              <w:t>天，</w:t>
            </w:r>
            <w:r>
              <w:rPr>
                <w:rFonts w:hint="eastAsia" w:ascii="Times New Roman" w:hAnsi="Times New Roman" w:eastAsia="宋体"/>
                <w:color w:val="auto"/>
                <w:sz w:val="24"/>
                <w:szCs w:val="24"/>
              </w:rPr>
              <w:t>昼、夜各监测一次。</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（3）监测因子</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等效连续A声级。</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（4）监测结果</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color w:val="auto"/>
                <w:sz w:val="24"/>
                <w:szCs w:val="24"/>
              </w:rPr>
              <w:t>本次监测结果详见</w:t>
            </w:r>
            <w:r>
              <w:rPr>
                <w:rFonts w:hint="eastAsia" w:ascii="Times New Roman" w:hAnsi="Times New Roman" w:eastAsia="宋体"/>
                <w:color w:val="auto"/>
                <w:sz w:val="24"/>
                <w:szCs w:val="24"/>
              </w:rPr>
              <w:t>下表：</w:t>
            </w:r>
          </w:p>
          <w:p>
            <w:pPr>
              <w:pStyle w:val="42"/>
              <w:widowControl/>
              <w:spacing w:line="360" w:lineRule="auto"/>
              <w:jc w:val="center"/>
              <w:rPr>
                <w:rFonts w:hint="eastAsia" w:ascii="Times New Roman" w:hAnsi="Times New Roman" w:eastAsia="宋体"/>
                <w:b/>
                <w:bCs/>
                <w:color w:val="auto"/>
                <w:sz w:val="21"/>
                <w:szCs w:val="21"/>
              </w:rPr>
            </w:pPr>
            <w:r>
              <w:rPr>
                <w:rFonts w:hint="eastAsia" w:ascii="Times New Roman" w:hAnsi="Times New Roman" w:eastAsia="宋体"/>
                <w:b/>
                <w:bCs/>
                <w:color w:val="auto"/>
                <w:sz w:val="21"/>
                <w:szCs w:val="21"/>
              </w:rPr>
              <w:t>表3-</w:t>
            </w:r>
            <w:r>
              <w:rPr>
                <w:rFonts w:hint="eastAsia" w:ascii="Times New Roman" w:hAnsi="Times New Roman"/>
                <w:b/>
                <w:bCs/>
                <w:color w:val="auto"/>
                <w:sz w:val="21"/>
                <w:szCs w:val="21"/>
                <w:lang w:val="en-US" w:eastAsia="zh-CN"/>
              </w:rPr>
              <w:t>3</w:t>
            </w:r>
            <w:r>
              <w:rPr>
                <w:rFonts w:hint="eastAsia" w:ascii="Times New Roman" w:hAnsi="Times New Roman" w:eastAsia="宋体"/>
                <w:b/>
                <w:bCs/>
                <w:color w:val="auto"/>
                <w:sz w:val="21"/>
                <w:szCs w:val="21"/>
              </w:rPr>
              <w:t xml:space="preserve">    声环境质量监测结果统计表 单位</w:t>
            </w:r>
            <w:r>
              <w:rPr>
                <w:rFonts w:ascii="Times New Roman" w:hAnsi="Times New Roman" w:eastAsia="宋体"/>
                <w:b/>
                <w:bCs/>
                <w:color w:val="auto"/>
                <w:sz w:val="21"/>
                <w:szCs w:val="21"/>
              </w:rPr>
              <w:t>dB</w:t>
            </w:r>
            <w:r>
              <w:rPr>
                <w:rFonts w:hint="eastAsia" w:ascii="Times New Roman" w:hAnsi="Times New Roman" w:eastAsia="宋体"/>
                <w:b/>
                <w:bCs/>
                <w:color w:val="auto"/>
                <w:sz w:val="21"/>
                <w:szCs w:val="21"/>
              </w:rPr>
              <w:t>（A）</w:t>
            </w:r>
          </w:p>
          <w:tbl>
            <w:tblPr>
              <w:tblStyle w:val="27"/>
              <w:tblW w:w="7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8"/>
              <w:gridCol w:w="1245"/>
              <w:gridCol w:w="1309"/>
              <w:gridCol w:w="1441"/>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vMerge w:val="restart"/>
                  <w:noWrap w:val="0"/>
                  <w:vAlign w:val="center"/>
                </w:tcPr>
                <w:p>
                  <w:pPr>
                    <w:autoSpaceDE w:val="0"/>
                    <w:autoSpaceDN w:val="0"/>
                    <w:spacing w:line="276" w:lineRule="auto"/>
                    <w:jc w:val="center"/>
                    <w:rPr>
                      <w:b/>
                      <w:bCs/>
                      <w:color w:val="auto"/>
                      <w:szCs w:val="21"/>
                    </w:rPr>
                  </w:pPr>
                  <w:r>
                    <w:rPr>
                      <w:b/>
                      <w:bCs/>
                      <w:color w:val="auto"/>
                      <w:szCs w:val="21"/>
                    </w:rPr>
                    <w:t>监测点位</w:t>
                  </w:r>
                </w:p>
              </w:tc>
              <w:tc>
                <w:tcPr>
                  <w:tcW w:w="1604" w:type="pct"/>
                  <w:gridSpan w:val="2"/>
                  <w:noWrap w:val="0"/>
                  <w:vAlign w:val="center"/>
                </w:tcPr>
                <w:p>
                  <w:pPr>
                    <w:autoSpaceDE w:val="0"/>
                    <w:autoSpaceDN w:val="0"/>
                    <w:spacing w:line="276" w:lineRule="auto"/>
                    <w:jc w:val="center"/>
                    <w:rPr>
                      <w:b/>
                      <w:bCs/>
                      <w:color w:val="auto"/>
                      <w:szCs w:val="21"/>
                    </w:rPr>
                  </w:pPr>
                  <w:r>
                    <w:rPr>
                      <w:b/>
                      <w:bCs/>
                      <w:color w:val="auto"/>
                      <w:szCs w:val="21"/>
                    </w:rPr>
                    <w:t>监测时间</w:t>
                  </w:r>
                </w:p>
              </w:tc>
              <w:tc>
                <w:tcPr>
                  <w:tcW w:w="1819" w:type="pct"/>
                  <w:gridSpan w:val="2"/>
                  <w:noWrap w:val="0"/>
                  <w:vAlign w:val="center"/>
                </w:tcPr>
                <w:p>
                  <w:pPr>
                    <w:autoSpaceDE w:val="0"/>
                    <w:autoSpaceDN w:val="0"/>
                    <w:spacing w:line="276" w:lineRule="auto"/>
                    <w:jc w:val="center"/>
                    <w:rPr>
                      <w:b/>
                      <w:bCs/>
                      <w:color w:val="auto"/>
                      <w:szCs w:val="21"/>
                    </w:rPr>
                  </w:pPr>
                  <w:r>
                    <w:rPr>
                      <w:b/>
                      <w:bCs/>
                      <w:color w:val="auto"/>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vMerge w:val="continue"/>
                  <w:noWrap w:val="0"/>
                  <w:vAlign w:val="center"/>
                </w:tcPr>
                <w:p>
                  <w:pPr>
                    <w:autoSpaceDE w:val="0"/>
                    <w:autoSpaceDN w:val="0"/>
                    <w:spacing w:line="276" w:lineRule="auto"/>
                    <w:jc w:val="center"/>
                    <w:rPr>
                      <w:b/>
                      <w:bCs/>
                      <w:color w:val="auto"/>
                      <w:szCs w:val="21"/>
                    </w:rPr>
                  </w:pPr>
                </w:p>
              </w:tc>
              <w:tc>
                <w:tcPr>
                  <w:tcW w:w="782" w:type="pct"/>
                  <w:noWrap w:val="0"/>
                  <w:vAlign w:val="center"/>
                </w:tcPr>
                <w:p>
                  <w:pPr>
                    <w:jc w:val="center"/>
                    <w:rPr>
                      <w:b/>
                      <w:bCs/>
                      <w:color w:val="auto"/>
                      <w:szCs w:val="21"/>
                    </w:rPr>
                  </w:pPr>
                  <w:r>
                    <w:rPr>
                      <w:color w:val="auto"/>
                      <w:szCs w:val="21"/>
                    </w:rPr>
                    <w:t>昼  间</w:t>
                  </w:r>
                </w:p>
              </w:tc>
              <w:tc>
                <w:tcPr>
                  <w:tcW w:w="822" w:type="pct"/>
                  <w:noWrap w:val="0"/>
                  <w:vAlign w:val="center"/>
                </w:tcPr>
                <w:p>
                  <w:pPr>
                    <w:autoSpaceDE w:val="0"/>
                    <w:autoSpaceDN w:val="0"/>
                    <w:jc w:val="center"/>
                    <w:rPr>
                      <w:b/>
                      <w:bCs/>
                      <w:color w:val="auto"/>
                      <w:szCs w:val="21"/>
                    </w:rPr>
                  </w:pPr>
                  <w:r>
                    <w:rPr>
                      <w:color w:val="auto"/>
                      <w:szCs w:val="21"/>
                    </w:rPr>
                    <w:t>夜  间</w:t>
                  </w:r>
                </w:p>
              </w:tc>
              <w:tc>
                <w:tcPr>
                  <w:tcW w:w="905" w:type="pct"/>
                  <w:noWrap w:val="0"/>
                  <w:vAlign w:val="center"/>
                </w:tcPr>
                <w:p>
                  <w:pPr>
                    <w:jc w:val="center"/>
                    <w:rPr>
                      <w:b/>
                      <w:bCs/>
                      <w:color w:val="auto"/>
                      <w:szCs w:val="21"/>
                    </w:rPr>
                  </w:pPr>
                  <w:r>
                    <w:rPr>
                      <w:color w:val="auto"/>
                      <w:szCs w:val="21"/>
                    </w:rPr>
                    <w:t>昼  间</w:t>
                  </w:r>
                </w:p>
              </w:tc>
              <w:tc>
                <w:tcPr>
                  <w:tcW w:w="914" w:type="pct"/>
                  <w:noWrap w:val="0"/>
                  <w:vAlign w:val="center"/>
                </w:tcPr>
                <w:p>
                  <w:pPr>
                    <w:autoSpaceDE w:val="0"/>
                    <w:autoSpaceDN w:val="0"/>
                    <w:jc w:val="center"/>
                    <w:rPr>
                      <w:b/>
                      <w:bCs/>
                      <w:color w:val="auto"/>
                      <w:szCs w:val="21"/>
                    </w:rPr>
                  </w:pPr>
                  <w:r>
                    <w:rPr>
                      <w:color w:val="auto"/>
                      <w:szCs w:val="21"/>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noWrap w:val="0"/>
                  <w:vAlign w:val="center"/>
                </w:tcPr>
                <w:p>
                  <w:pPr>
                    <w:jc w:val="center"/>
                    <w:rPr>
                      <w:color w:val="auto"/>
                      <w:szCs w:val="21"/>
                    </w:rPr>
                  </w:pPr>
                  <w:r>
                    <w:rPr>
                      <w:rFonts w:hint="eastAsia"/>
                      <w:color w:val="auto"/>
                      <w:szCs w:val="21"/>
                    </w:rPr>
                    <w:t>项目地东</w:t>
                  </w:r>
                  <w:r>
                    <w:rPr>
                      <w:color w:val="auto"/>
                      <w:szCs w:val="21"/>
                    </w:rPr>
                    <w:t>侧</w:t>
                  </w:r>
                </w:p>
              </w:tc>
              <w:tc>
                <w:tcPr>
                  <w:tcW w:w="78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52</w:t>
                  </w:r>
                </w:p>
              </w:tc>
              <w:tc>
                <w:tcPr>
                  <w:tcW w:w="82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42</w:t>
                  </w:r>
                </w:p>
              </w:tc>
              <w:tc>
                <w:tcPr>
                  <w:tcW w:w="905" w:type="pct"/>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55</w:t>
                  </w:r>
                </w:p>
              </w:tc>
              <w:tc>
                <w:tcPr>
                  <w:tcW w:w="914" w:type="pct"/>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noWrap w:val="0"/>
                  <w:vAlign w:val="center"/>
                </w:tcPr>
                <w:p>
                  <w:pPr>
                    <w:jc w:val="center"/>
                    <w:rPr>
                      <w:color w:val="auto"/>
                      <w:szCs w:val="21"/>
                    </w:rPr>
                  </w:pPr>
                  <w:r>
                    <w:rPr>
                      <w:rFonts w:hint="eastAsia"/>
                      <w:color w:val="auto"/>
                      <w:szCs w:val="21"/>
                    </w:rPr>
                    <w:t>项目地</w:t>
                  </w:r>
                  <w:r>
                    <w:rPr>
                      <w:color w:val="auto"/>
                      <w:szCs w:val="21"/>
                    </w:rPr>
                    <w:t>南侧</w:t>
                  </w:r>
                </w:p>
              </w:tc>
              <w:tc>
                <w:tcPr>
                  <w:tcW w:w="78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62</w:t>
                  </w:r>
                </w:p>
              </w:tc>
              <w:tc>
                <w:tcPr>
                  <w:tcW w:w="82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52</w:t>
                  </w:r>
                </w:p>
              </w:tc>
              <w:tc>
                <w:tcPr>
                  <w:tcW w:w="905" w:type="pct"/>
                  <w:noWrap w:val="0"/>
                  <w:vAlign w:val="center"/>
                </w:tcPr>
                <w:p>
                  <w:pPr>
                    <w:spacing w:line="276" w:lineRule="auto"/>
                    <w:jc w:val="center"/>
                    <w:rPr>
                      <w:color w:val="FF0000"/>
                      <w:szCs w:val="21"/>
                    </w:rPr>
                  </w:pPr>
                  <w:r>
                    <w:rPr>
                      <w:rFonts w:hint="eastAsia"/>
                      <w:color w:val="FF0000"/>
                      <w:szCs w:val="21"/>
                    </w:rPr>
                    <w:t>70</w:t>
                  </w:r>
                </w:p>
              </w:tc>
              <w:tc>
                <w:tcPr>
                  <w:tcW w:w="914" w:type="pct"/>
                  <w:noWrap w:val="0"/>
                  <w:vAlign w:val="center"/>
                </w:tcPr>
                <w:p>
                  <w:pPr>
                    <w:spacing w:line="276" w:lineRule="auto"/>
                    <w:jc w:val="center"/>
                    <w:rPr>
                      <w:color w:val="FF0000"/>
                      <w:szCs w:val="21"/>
                    </w:rPr>
                  </w:pPr>
                  <w:r>
                    <w:rPr>
                      <w:rFonts w:hint="eastAsia"/>
                      <w:color w:val="FF000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noWrap w:val="0"/>
                  <w:vAlign w:val="center"/>
                </w:tcPr>
                <w:p>
                  <w:pPr>
                    <w:jc w:val="center"/>
                    <w:rPr>
                      <w:color w:val="auto"/>
                      <w:szCs w:val="21"/>
                    </w:rPr>
                  </w:pPr>
                  <w:r>
                    <w:rPr>
                      <w:rFonts w:hint="eastAsia"/>
                      <w:color w:val="auto"/>
                      <w:szCs w:val="21"/>
                    </w:rPr>
                    <w:t>项目地西</w:t>
                  </w:r>
                  <w:r>
                    <w:rPr>
                      <w:color w:val="auto"/>
                      <w:szCs w:val="21"/>
                    </w:rPr>
                    <w:t>侧</w:t>
                  </w:r>
                </w:p>
              </w:tc>
              <w:tc>
                <w:tcPr>
                  <w:tcW w:w="78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52</w:t>
                  </w:r>
                </w:p>
              </w:tc>
              <w:tc>
                <w:tcPr>
                  <w:tcW w:w="82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42</w:t>
                  </w:r>
                </w:p>
              </w:tc>
              <w:tc>
                <w:tcPr>
                  <w:tcW w:w="1441"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55</w:t>
                  </w:r>
                </w:p>
              </w:tc>
              <w:tc>
                <w:tcPr>
                  <w:tcW w:w="1456"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noWrap w:val="0"/>
                  <w:vAlign w:val="center"/>
                </w:tcPr>
                <w:p>
                  <w:pPr>
                    <w:jc w:val="center"/>
                    <w:rPr>
                      <w:rFonts w:hint="default" w:eastAsia="宋体"/>
                      <w:color w:val="auto"/>
                      <w:szCs w:val="21"/>
                      <w:lang w:val="en-US" w:eastAsia="zh-CN"/>
                    </w:rPr>
                  </w:pPr>
                  <w:r>
                    <w:rPr>
                      <w:rFonts w:hint="eastAsia"/>
                      <w:color w:val="auto"/>
                      <w:szCs w:val="21"/>
                      <w:lang w:val="en-US" w:eastAsia="zh-CN"/>
                    </w:rPr>
                    <w:t>项目地北侧</w:t>
                  </w:r>
                </w:p>
              </w:tc>
              <w:tc>
                <w:tcPr>
                  <w:tcW w:w="78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51</w:t>
                  </w:r>
                </w:p>
              </w:tc>
              <w:tc>
                <w:tcPr>
                  <w:tcW w:w="822" w:type="pct"/>
                  <w:noWrap w:val="0"/>
                  <w:vAlign w:val="center"/>
                </w:tcPr>
                <w:p>
                  <w:pPr>
                    <w:jc w:val="center"/>
                    <w:rPr>
                      <w:rFonts w:hint="default" w:eastAsia="宋体"/>
                      <w:bCs/>
                      <w:color w:val="auto"/>
                      <w:szCs w:val="21"/>
                      <w:lang w:val="en-US" w:eastAsia="zh-CN"/>
                    </w:rPr>
                  </w:pPr>
                  <w:r>
                    <w:rPr>
                      <w:rFonts w:hint="eastAsia"/>
                      <w:bCs/>
                      <w:color w:val="auto"/>
                      <w:szCs w:val="21"/>
                      <w:lang w:val="en-US" w:eastAsia="zh-CN"/>
                    </w:rPr>
                    <w:t>41</w:t>
                  </w:r>
                </w:p>
              </w:tc>
              <w:tc>
                <w:tcPr>
                  <w:tcW w:w="1441"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55</w:t>
                  </w:r>
                </w:p>
              </w:tc>
              <w:tc>
                <w:tcPr>
                  <w:tcW w:w="1456"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noWrap w:val="0"/>
                  <w:vAlign w:val="center"/>
                </w:tcPr>
                <w:p>
                  <w:pPr>
                    <w:jc w:val="center"/>
                    <w:rPr>
                      <w:rFonts w:hint="default" w:eastAsia="宋体"/>
                      <w:color w:val="auto"/>
                      <w:szCs w:val="21"/>
                      <w:lang w:val="en-US" w:eastAsia="zh-CN"/>
                    </w:rPr>
                  </w:pPr>
                  <w:r>
                    <w:rPr>
                      <w:rFonts w:hint="eastAsia"/>
                      <w:color w:val="auto"/>
                      <w:szCs w:val="21"/>
                      <w:lang w:val="en-US" w:eastAsia="zh-CN"/>
                    </w:rPr>
                    <w:t>上和城1号楼</w:t>
                  </w:r>
                </w:p>
              </w:tc>
              <w:tc>
                <w:tcPr>
                  <w:tcW w:w="782" w:type="pct"/>
                  <w:noWrap w:val="0"/>
                  <w:vAlign w:val="center"/>
                </w:tcPr>
                <w:p>
                  <w:pPr>
                    <w:jc w:val="center"/>
                    <w:rPr>
                      <w:rFonts w:hint="default" w:eastAsia="宋体"/>
                      <w:color w:val="auto"/>
                      <w:szCs w:val="21"/>
                      <w:lang w:val="en-US" w:eastAsia="zh-CN"/>
                    </w:rPr>
                  </w:pPr>
                  <w:r>
                    <w:rPr>
                      <w:rFonts w:hint="eastAsia"/>
                      <w:color w:val="auto"/>
                      <w:szCs w:val="21"/>
                      <w:lang w:val="en-US" w:eastAsia="zh-CN"/>
                    </w:rPr>
                    <w:t>51</w:t>
                  </w:r>
                </w:p>
              </w:tc>
              <w:tc>
                <w:tcPr>
                  <w:tcW w:w="822" w:type="pct"/>
                  <w:noWrap w:val="0"/>
                  <w:vAlign w:val="center"/>
                </w:tcPr>
                <w:p>
                  <w:pPr>
                    <w:jc w:val="center"/>
                    <w:rPr>
                      <w:rFonts w:hint="default" w:eastAsia="宋体"/>
                      <w:color w:val="auto"/>
                      <w:szCs w:val="21"/>
                      <w:lang w:val="en-US" w:eastAsia="zh-CN"/>
                    </w:rPr>
                  </w:pPr>
                  <w:r>
                    <w:rPr>
                      <w:rFonts w:hint="eastAsia"/>
                      <w:color w:val="auto"/>
                      <w:szCs w:val="21"/>
                      <w:lang w:val="en-US" w:eastAsia="zh-CN"/>
                    </w:rPr>
                    <w:t>41</w:t>
                  </w:r>
                </w:p>
              </w:tc>
              <w:tc>
                <w:tcPr>
                  <w:tcW w:w="1441"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55</w:t>
                  </w:r>
                </w:p>
              </w:tc>
              <w:tc>
                <w:tcPr>
                  <w:tcW w:w="1456"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pct"/>
                  <w:noWrap w:val="0"/>
                  <w:vAlign w:val="center"/>
                </w:tcPr>
                <w:p>
                  <w:pPr>
                    <w:jc w:val="center"/>
                    <w:rPr>
                      <w:rFonts w:hint="default"/>
                      <w:color w:val="auto"/>
                      <w:szCs w:val="21"/>
                      <w:lang w:val="en-US" w:eastAsia="zh-CN"/>
                    </w:rPr>
                  </w:pPr>
                  <w:r>
                    <w:rPr>
                      <w:rFonts w:hint="eastAsia"/>
                      <w:color w:val="auto"/>
                      <w:szCs w:val="21"/>
                      <w:lang w:val="en-US" w:eastAsia="zh-CN"/>
                    </w:rPr>
                    <w:t>上和城4号楼</w:t>
                  </w:r>
                </w:p>
              </w:tc>
              <w:tc>
                <w:tcPr>
                  <w:tcW w:w="782" w:type="pct"/>
                  <w:noWrap w:val="0"/>
                  <w:vAlign w:val="center"/>
                </w:tcPr>
                <w:p>
                  <w:pPr>
                    <w:jc w:val="center"/>
                    <w:rPr>
                      <w:rFonts w:hint="default" w:eastAsia="宋体"/>
                      <w:color w:val="auto"/>
                      <w:szCs w:val="21"/>
                      <w:lang w:val="en-US" w:eastAsia="zh-CN"/>
                    </w:rPr>
                  </w:pPr>
                  <w:r>
                    <w:rPr>
                      <w:rFonts w:hint="eastAsia"/>
                      <w:color w:val="auto"/>
                      <w:szCs w:val="21"/>
                      <w:lang w:val="en-US" w:eastAsia="zh-CN"/>
                    </w:rPr>
                    <w:t>51</w:t>
                  </w:r>
                </w:p>
              </w:tc>
              <w:tc>
                <w:tcPr>
                  <w:tcW w:w="822" w:type="pct"/>
                  <w:noWrap w:val="0"/>
                  <w:vAlign w:val="center"/>
                </w:tcPr>
                <w:p>
                  <w:pPr>
                    <w:jc w:val="center"/>
                    <w:rPr>
                      <w:rFonts w:hint="default" w:eastAsia="宋体"/>
                      <w:color w:val="auto"/>
                      <w:szCs w:val="21"/>
                      <w:lang w:val="en-US" w:eastAsia="zh-CN"/>
                    </w:rPr>
                  </w:pPr>
                  <w:r>
                    <w:rPr>
                      <w:rFonts w:hint="eastAsia"/>
                      <w:color w:val="auto"/>
                      <w:szCs w:val="21"/>
                      <w:lang w:val="en-US" w:eastAsia="zh-CN"/>
                    </w:rPr>
                    <w:t>41</w:t>
                  </w:r>
                </w:p>
              </w:tc>
              <w:tc>
                <w:tcPr>
                  <w:tcW w:w="1441"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55</w:t>
                  </w:r>
                </w:p>
              </w:tc>
              <w:tc>
                <w:tcPr>
                  <w:tcW w:w="1456" w:type="dxa"/>
                  <w:noWrap w:val="0"/>
                  <w:vAlign w:val="center"/>
                </w:tcPr>
                <w:p>
                  <w:pPr>
                    <w:spacing w:line="276" w:lineRule="auto"/>
                    <w:jc w:val="center"/>
                    <w:rPr>
                      <w:rFonts w:hint="default" w:eastAsia="宋体"/>
                      <w:color w:val="FF0000"/>
                      <w:szCs w:val="21"/>
                      <w:lang w:val="en-US" w:eastAsia="zh-CN"/>
                    </w:rPr>
                  </w:pPr>
                  <w:r>
                    <w:rPr>
                      <w:rFonts w:hint="eastAsia"/>
                      <w:color w:val="FF0000"/>
                      <w:szCs w:val="21"/>
                      <w:lang w:val="en-US" w:eastAsia="zh-CN"/>
                    </w:rPr>
                    <w:t>45</w:t>
                  </w:r>
                </w:p>
              </w:tc>
            </w:tr>
          </w:tbl>
          <w:p>
            <w:pPr>
              <w:pStyle w:val="42"/>
              <w:widowControl/>
              <w:spacing w:line="360" w:lineRule="auto"/>
              <w:ind w:firstLine="480" w:firstLineChars="200"/>
              <w:jc w:val="both"/>
              <w:rPr>
                <w:rFonts w:hint="default" w:ascii="Times New Roman" w:hAnsi="Times New Roman" w:cs="Times New Roman"/>
                <w:color w:val="auto"/>
                <w:kern w:val="0"/>
                <w:szCs w:val="21"/>
                <w:lang w:val="en-US"/>
              </w:rPr>
            </w:pPr>
            <w:r>
              <w:rPr>
                <w:rFonts w:hint="eastAsia" w:ascii="Times New Roman" w:hAnsi="Times New Roman" w:eastAsia="宋体"/>
                <w:color w:val="auto"/>
                <w:sz w:val="24"/>
                <w:szCs w:val="24"/>
              </w:rPr>
              <w:t>从上表噪声监测结果可知，项目厂界西侧、东侧</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北侧</w:t>
            </w:r>
            <w:r>
              <w:rPr>
                <w:rFonts w:hint="eastAsia" w:ascii="Times New Roman" w:hAnsi="Times New Roman" w:eastAsia="宋体"/>
                <w:color w:val="auto"/>
                <w:sz w:val="24"/>
                <w:szCs w:val="24"/>
              </w:rPr>
              <w:t>及声环境保护目标的声环境质量满足《声环境质量标准》</w:t>
            </w:r>
            <w:r>
              <w:rPr>
                <w:rFonts w:hint="eastAsia" w:ascii="Times New Roman" w:hAnsi="Times New Roman" w:eastAsia="宋体"/>
                <w:color w:val="FF0000"/>
                <w:sz w:val="24"/>
                <w:szCs w:val="24"/>
              </w:rPr>
              <w:t>（</w:t>
            </w:r>
            <w:r>
              <w:rPr>
                <w:rFonts w:ascii="Times New Roman" w:hAnsi="Times New Roman" w:eastAsia="宋体"/>
                <w:color w:val="FF0000"/>
                <w:sz w:val="24"/>
                <w:szCs w:val="24"/>
              </w:rPr>
              <w:t>GB3096-2008</w:t>
            </w:r>
            <w:r>
              <w:rPr>
                <w:rFonts w:hint="eastAsia" w:ascii="Times New Roman" w:hAnsi="Times New Roman" w:eastAsia="宋体"/>
                <w:color w:val="FF0000"/>
                <w:sz w:val="24"/>
                <w:szCs w:val="24"/>
              </w:rPr>
              <w:t>）中</w:t>
            </w:r>
            <w:r>
              <w:rPr>
                <w:rFonts w:hint="eastAsia" w:ascii="Times New Roman" w:hAnsi="Times New Roman" w:eastAsia="宋体"/>
                <w:color w:val="FF0000"/>
                <w:sz w:val="24"/>
                <w:szCs w:val="24"/>
                <w:lang w:val="en-US" w:eastAsia="zh-CN"/>
              </w:rPr>
              <w:t>1</w:t>
            </w:r>
            <w:r>
              <w:rPr>
                <w:rFonts w:hint="eastAsia" w:ascii="Times New Roman" w:hAnsi="Times New Roman" w:eastAsia="宋体"/>
                <w:color w:val="FF0000"/>
                <w:sz w:val="24"/>
                <w:szCs w:val="24"/>
              </w:rPr>
              <w:t>类标准，项目厂界南侧满足《声环境质量标准》（GB3096-2008）中4a类标准</w:t>
            </w:r>
            <w:r>
              <w:rPr>
                <w:rFonts w:hint="eastAsia" w:ascii="Times New Roman" w:hAnsi="Times New Roman"/>
                <w:color w:val="FF0000"/>
                <w:sz w:val="24"/>
                <w:szCs w:val="24"/>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00" w:hRule="atLeast"/>
          <w:jc w:val="center"/>
        </w:trPr>
        <w:tc>
          <w:tcPr>
            <w:tcW w:w="800"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保护</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目标</w:t>
            </w:r>
          </w:p>
        </w:tc>
        <w:tc>
          <w:tcPr>
            <w:tcW w:w="8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1、大气环境保护目标</w:t>
            </w:r>
          </w:p>
          <w:p>
            <w:pPr>
              <w:pStyle w:val="10"/>
              <w:spacing w:before="0" w:after="0" w:line="360" w:lineRule="auto"/>
              <w:ind w:right="0" w:firstLine="480" w:firstLineChars="200"/>
              <w:rPr>
                <w:color w:val="auto"/>
                <w:sz w:val="24"/>
                <w:szCs w:val="24"/>
              </w:rPr>
            </w:pPr>
            <w:r>
              <w:rPr>
                <w:color w:val="auto"/>
                <w:sz w:val="24"/>
                <w:szCs w:val="24"/>
              </w:rPr>
              <w:t>根据环境敏感因素的界定原则，经调查，本项目厂界外500米范围内无自然保护区、风景名胜区、</w:t>
            </w:r>
            <w:r>
              <w:rPr>
                <w:rFonts w:hint="eastAsia"/>
                <w:color w:val="auto"/>
                <w:sz w:val="24"/>
                <w:szCs w:val="24"/>
              </w:rPr>
              <w:t>水源保护区</w:t>
            </w:r>
            <w:r>
              <w:rPr>
                <w:color w:val="auto"/>
                <w:sz w:val="24"/>
                <w:szCs w:val="24"/>
              </w:rPr>
              <w:t>等保护目标，</w:t>
            </w:r>
            <w:r>
              <w:rPr>
                <w:rFonts w:hint="eastAsia"/>
                <w:color w:val="auto"/>
                <w:sz w:val="24"/>
                <w:szCs w:val="24"/>
              </w:rPr>
              <w:t>项目地周围主要为小区居民、学校，</w:t>
            </w:r>
            <w:r>
              <w:rPr>
                <w:color w:val="auto"/>
                <w:sz w:val="24"/>
                <w:szCs w:val="24"/>
              </w:rPr>
              <w:t>环境保护目标见表3-</w:t>
            </w:r>
            <w:r>
              <w:rPr>
                <w:rFonts w:hint="eastAsia"/>
                <w:color w:val="auto"/>
                <w:sz w:val="24"/>
                <w:szCs w:val="24"/>
                <w:lang w:val="en-US" w:eastAsia="zh-CN"/>
              </w:rPr>
              <w:t>4</w:t>
            </w:r>
            <w:r>
              <w:rPr>
                <w:color w:val="auto"/>
                <w:sz w:val="24"/>
                <w:szCs w:val="24"/>
              </w:rPr>
              <w:t>。</w:t>
            </w:r>
          </w:p>
          <w:p>
            <w:pPr>
              <w:pStyle w:val="10"/>
              <w:spacing w:before="0" w:after="0" w:line="360" w:lineRule="auto"/>
              <w:ind w:right="0" w:firstLine="482" w:firstLineChars="200"/>
              <w:rPr>
                <w:b/>
                <w:bCs/>
                <w:color w:val="auto"/>
                <w:sz w:val="24"/>
                <w:szCs w:val="24"/>
              </w:rPr>
            </w:pPr>
            <w:r>
              <w:rPr>
                <w:rFonts w:hint="eastAsia"/>
                <w:b/>
                <w:bCs/>
                <w:color w:val="auto"/>
                <w:sz w:val="24"/>
                <w:szCs w:val="24"/>
              </w:rPr>
              <w:t>2、</w:t>
            </w:r>
            <w:r>
              <w:rPr>
                <w:b/>
                <w:bCs/>
                <w:color w:val="auto"/>
                <w:sz w:val="24"/>
                <w:szCs w:val="24"/>
              </w:rPr>
              <w:t>声环境</w:t>
            </w:r>
            <w:r>
              <w:rPr>
                <w:rFonts w:hint="eastAsia"/>
                <w:b/>
                <w:bCs/>
                <w:color w:val="auto"/>
                <w:sz w:val="24"/>
                <w:szCs w:val="24"/>
              </w:rPr>
              <w:t>保护目标</w:t>
            </w:r>
          </w:p>
          <w:p>
            <w:pPr>
              <w:pStyle w:val="10"/>
              <w:spacing w:before="0" w:after="0" w:line="360" w:lineRule="auto"/>
              <w:ind w:right="0" w:firstLine="480" w:firstLineChars="200"/>
              <w:rPr>
                <w:color w:val="auto"/>
                <w:sz w:val="24"/>
                <w:szCs w:val="24"/>
              </w:rPr>
            </w:pPr>
            <w:r>
              <w:rPr>
                <w:color w:val="auto"/>
                <w:sz w:val="24"/>
                <w:szCs w:val="24"/>
              </w:rPr>
              <w:t>项目声环境质量控制目标为《声环境质量标准》（GB3096-2008）</w:t>
            </w:r>
            <w:r>
              <w:rPr>
                <w:rFonts w:hint="eastAsia"/>
                <w:color w:val="auto"/>
                <w:sz w:val="24"/>
                <w:szCs w:val="24"/>
                <w:lang w:val="en-US" w:eastAsia="zh-CN"/>
              </w:rPr>
              <w:t>1</w:t>
            </w:r>
            <w:r>
              <w:rPr>
                <w:color w:val="auto"/>
                <w:sz w:val="24"/>
                <w:szCs w:val="24"/>
              </w:rPr>
              <w:t>类区标准，项目厂界外50米范围内声环境保护目标见表3-</w:t>
            </w:r>
            <w:r>
              <w:rPr>
                <w:rFonts w:hint="eastAsia"/>
                <w:color w:val="auto"/>
                <w:sz w:val="24"/>
                <w:szCs w:val="24"/>
                <w:lang w:val="en-US" w:eastAsia="zh-CN"/>
              </w:rPr>
              <w:t>4</w:t>
            </w:r>
            <w:r>
              <w:rPr>
                <w:color w:val="auto"/>
                <w:sz w:val="24"/>
                <w:szCs w:val="24"/>
              </w:rPr>
              <w:t>。</w:t>
            </w:r>
          </w:p>
          <w:p>
            <w:pPr>
              <w:pStyle w:val="10"/>
              <w:spacing w:before="0" w:after="0" w:line="360" w:lineRule="auto"/>
              <w:ind w:right="0" w:firstLine="482" w:firstLineChars="200"/>
              <w:rPr>
                <w:b/>
                <w:bCs/>
                <w:color w:val="auto"/>
                <w:sz w:val="24"/>
                <w:szCs w:val="24"/>
              </w:rPr>
            </w:pPr>
            <w:r>
              <w:rPr>
                <w:rFonts w:hint="eastAsia"/>
                <w:b/>
                <w:bCs/>
                <w:color w:val="auto"/>
                <w:sz w:val="24"/>
                <w:szCs w:val="24"/>
              </w:rPr>
              <w:t>3、</w:t>
            </w:r>
            <w:r>
              <w:rPr>
                <w:b/>
                <w:bCs/>
                <w:color w:val="auto"/>
                <w:sz w:val="24"/>
                <w:szCs w:val="24"/>
              </w:rPr>
              <w:t>地下水环境</w:t>
            </w:r>
          </w:p>
          <w:p>
            <w:pPr>
              <w:pStyle w:val="10"/>
              <w:spacing w:before="0" w:after="0" w:line="360" w:lineRule="auto"/>
              <w:ind w:right="0" w:firstLine="480" w:firstLineChars="200"/>
              <w:rPr>
                <w:color w:val="auto"/>
                <w:sz w:val="24"/>
                <w:szCs w:val="24"/>
              </w:rPr>
            </w:pPr>
            <w:r>
              <w:rPr>
                <w:color w:val="auto"/>
                <w:sz w:val="24"/>
                <w:szCs w:val="24"/>
              </w:rPr>
              <w:t>项目厂界外500米范围内无地下水集中式饮用水水源和热水、矿泉水、温泉等特殊地下水资源。</w:t>
            </w:r>
            <w:r>
              <w:rPr>
                <w:rFonts w:hint="eastAsia"/>
                <w:color w:val="auto"/>
                <w:sz w:val="24"/>
                <w:szCs w:val="24"/>
              </w:rPr>
              <w:t>无</w:t>
            </w:r>
            <w:r>
              <w:rPr>
                <w:color w:val="auto"/>
                <w:sz w:val="24"/>
                <w:szCs w:val="24"/>
              </w:rPr>
              <w:t>地下水环境</w:t>
            </w:r>
            <w:r>
              <w:rPr>
                <w:rFonts w:hint="eastAsia"/>
                <w:color w:val="auto"/>
                <w:sz w:val="24"/>
                <w:szCs w:val="24"/>
              </w:rPr>
              <w:t>保护目标。</w:t>
            </w:r>
          </w:p>
          <w:p>
            <w:pPr>
              <w:pStyle w:val="10"/>
              <w:spacing w:before="0" w:after="0" w:line="360" w:lineRule="auto"/>
              <w:ind w:right="0" w:firstLine="482" w:firstLineChars="200"/>
              <w:rPr>
                <w:b/>
                <w:bCs/>
                <w:color w:val="auto"/>
                <w:sz w:val="24"/>
                <w:szCs w:val="24"/>
              </w:rPr>
            </w:pPr>
            <w:r>
              <w:rPr>
                <w:rFonts w:hint="eastAsia"/>
                <w:b/>
                <w:bCs/>
                <w:color w:val="auto"/>
                <w:sz w:val="24"/>
                <w:szCs w:val="24"/>
              </w:rPr>
              <w:t>4、</w:t>
            </w:r>
            <w:r>
              <w:rPr>
                <w:b/>
                <w:bCs/>
                <w:color w:val="auto"/>
                <w:sz w:val="24"/>
                <w:szCs w:val="24"/>
              </w:rPr>
              <w:t>生态环境</w:t>
            </w:r>
          </w:p>
          <w:p>
            <w:pPr>
              <w:pStyle w:val="10"/>
              <w:spacing w:before="0" w:after="0" w:line="360" w:lineRule="auto"/>
              <w:ind w:right="0" w:firstLine="480" w:firstLineChars="200"/>
              <w:rPr>
                <w:color w:val="auto"/>
                <w:sz w:val="24"/>
                <w:szCs w:val="24"/>
              </w:rPr>
            </w:pPr>
            <w:r>
              <w:rPr>
                <w:color w:val="auto"/>
                <w:sz w:val="24"/>
                <w:szCs w:val="24"/>
              </w:rPr>
              <w:t>项目</w:t>
            </w:r>
            <w:r>
              <w:rPr>
                <w:rFonts w:hint="eastAsia"/>
                <w:color w:val="auto"/>
                <w:sz w:val="24"/>
                <w:szCs w:val="24"/>
              </w:rPr>
              <w:t>用地范围内</w:t>
            </w:r>
            <w:r>
              <w:rPr>
                <w:color w:val="auto"/>
                <w:sz w:val="24"/>
                <w:szCs w:val="24"/>
              </w:rPr>
              <w:t>无生态环境保护目标。</w:t>
            </w:r>
          </w:p>
          <w:p>
            <w:pPr>
              <w:pStyle w:val="10"/>
              <w:spacing w:before="0" w:after="0" w:line="360" w:lineRule="auto"/>
              <w:ind w:right="0"/>
              <w:jc w:val="center"/>
              <w:rPr>
                <w:color w:val="auto"/>
                <w:sz w:val="21"/>
                <w:szCs w:val="21"/>
              </w:rPr>
            </w:pPr>
            <w:r>
              <w:rPr>
                <w:b/>
                <w:color w:val="auto"/>
                <w:sz w:val="21"/>
                <w:szCs w:val="21"/>
              </w:rPr>
              <w:t>表3-</w:t>
            </w:r>
            <w:r>
              <w:rPr>
                <w:rFonts w:hint="eastAsia"/>
                <w:b/>
                <w:color w:val="auto"/>
                <w:sz w:val="21"/>
                <w:szCs w:val="21"/>
                <w:lang w:val="en-US" w:eastAsia="zh-CN"/>
              </w:rPr>
              <w:t>4</w:t>
            </w:r>
            <w:r>
              <w:rPr>
                <w:rFonts w:hint="eastAsia"/>
                <w:b/>
                <w:color w:val="auto"/>
                <w:sz w:val="21"/>
                <w:szCs w:val="21"/>
              </w:rPr>
              <w:t xml:space="preserve">    </w:t>
            </w:r>
            <w:r>
              <w:rPr>
                <w:b/>
                <w:color w:val="auto"/>
                <w:sz w:val="21"/>
                <w:szCs w:val="21"/>
              </w:rPr>
              <w:t>主要环境保护目标表</w:t>
            </w:r>
          </w:p>
          <w:tbl>
            <w:tblPr>
              <w:tblStyle w:val="2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948"/>
              <w:gridCol w:w="1846"/>
              <w:gridCol w:w="1057"/>
              <w:gridCol w:w="693"/>
              <w:gridCol w:w="678"/>
              <w:gridCol w:w="78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restart"/>
                  <w:noWrap w:val="0"/>
                  <w:vAlign w:val="center"/>
                </w:tcPr>
                <w:p>
                  <w:pPr>
                    <w:jc w:val="center"/>
                    <w:rPr>
                      <w:b/>
                      <w:bCs/>
                      <w:color w:val="auto"/>
                      <w:szCs w:val="21"/>
                    </w:rPr>
                  </w:pPr>
                  <w:r>
                    <w:rPr>
                      <w:b/>
                      <w:bCs/>
                      <w:color w:val="auto"/>
                      <w:szCs w:val="21"/>
                    </w:rPr>
                    <w:t>环境要素</w:t>
                  </w:r>
                </w:p>
              </w:tc>
              <w:tc>
                <w:tcPr>
                  <w:tcW w:w="2255" w:type="pct"/>
                  <w:gridSpan w:val="2"/>
                  <w:noWrap w:val="0"/>
                  <w:vAlign w:val="center"/>
                </w:tcPr>
                <w:p>
                  <w:pPr>
                    <w:jc w:val="center"/>
                    <w:rPr>
                      <w:rFonts w:hint="eastAsia"/>
                      <w:b/>
                      <w:bCs/>
                      <w:color w:val="auto"/>
                      <w:szCs w:val="21"/>
                    </w:rPr>
                  </w:pPr>
                  <w:r>
                    <w:rPr>
                      <w:b/>
                      <w:bCs/>
                      <w:color w:val="auto"/>
                      <w:szCs w:val="21"/>
                    </w:rPr>
                    <w:t>坐标/</w:t>
                  </w:r>
                  <w:r>
                    <w:rPr>
                      <w:rFonts w:hint="eastAsia"/>
                      <w:b/>
                      <w:bCs/>
                      <w:color w:val="auto"/>
                      <w:szCs w:val="21"/>
                    </w:rPr>
                    <w:t>°</w:t>
                  </w:r>
                </w:p>
              </w:tc>
              <w:tc>
                <w:tcPr>
                  <w:tcW w:w="628" w:type="pct"/>
                  <w:vMerge w:val="restart"/>
                  <w:noWrap w:val="0"/>
                  <w:vAlign w:val="center"/>
                </w:tcPr>
                <w:p>
                  <w:pPr>
                    <w:jc w:val="center"/>
                    <w:rPr>
                      <w:b/>
                      <w:bCs/>
                      <w:color w:val="auto"/>
                      <w:szCs w:val="21"/>
                    </w:rPr>
                  </w:pPr>
                  <w:r>
                    <w:rPr>
                      <w:b/>
                      <w:bCs/>
                      <w:color w:val="auto"/>
                      <w:szCs w:val="21"/>
                    </w:rPr>
                    <w:t>保护对象</w:t>
                  </w:r>
                </w:p>
              </w:tc>
              <w:tc>
                <w:tcPr>
                  <w:tcW w:w="412" w:type="pct"/>
                  <w:vMerge w:val="restart"/>
                  <w:noWrap w:val="0"/>
                  <w:vAlign w:val="center"/>
                </w:tcPr>
                <w:p>
                  <w:pPr>
                    <w:jc w:val="center"/>
                    <w:rPr>
                      <w:b/>
                      <w:bCs/>
                      <w:color w:val="auto"/>
                      <w:szCs w:val="21"/>
                    </w:rPr>
                  </w:pPr>
                  <w:r>
                    <w:rPr>
                      <w:b/>
                      <w:bCs/>
                      <w:color w:val="auto"/>
                      <w:szCs w:val="21"/>
                    </w:rPr>
                    <w:t>保护内容</w:t>
                  </w:r>
                </w:p>
              </w:tc>
              <w:tc>
                <w:tcPr>
                  <w:tcW w:w="403" w:type="pct"/>
                  <w:vMerge w:val="restart"/>
                  <w:noWrap w:val="0"/>
                  <w:vAlign w:val="center"/>
                </w:tcPr>
                <w:p>
                  <w:pPr>
                    <w:jc w:val="center"/>
                    <w:rPr>
                      <w:b/>
                      <w:bCs/>
                      <w:color w:val="auto"/>
                      <w:szCs w:val="21"/>
                    </w:rPr>
                  </w:pPr>
                  <w:r>
                    <w:rPr>
                      <w:b/>
                      <w:bCs/>
                      <w:color w:val="auto"/>
                      <w:szCs w:val="21"/>
                    </w:rPr>
                    <w:t>环境功能区</w:t>
                  </w:r>
                </w:p>
              </w:tc>
              <w:tc>
                <w:tcPr>
                  <w:tcW w:w="469" w:type="pct"/>
                  <w:vMerge w:val="restart"/>
                  <w:noWrap w:val="0"/>
                  <w:vAlign w:val="center"/>
                </w:tcPr>
                <w:p>
                  <w:pPr>
                    <w:jc w:val="center"/>
                    <w:rPr>
                      <w:b/>
                      <w:bCs/>
                      <w:color w:val="auto"/>
                      <w:szCs w:val="21"/>
                    </w:rPr>
                  </w:pPr>
                  <w:r>
                    <w:rPr>
                      <w:b/>
                      <w:bCs/>
                      <w:color w:val="auto"/>
                      <w:szCs w:val="21"/>
                    </w:rPr>
                    <w:t>相对厂址方位</w:t>
                  </w:r>
                </w:p>
              </w:tc>
              <w:tc>
                <w:tcPr>
                  <w:tcW w:w="415" w:type="pct"/>
                  <w:vMerge w:val="restart"/>
                  <w:noWrap w:val="0"/>
                  <w:vAlign w:val="center"/>
                </w:tcPr>
                <w:p>
                  <w:pPr>
                    <w:jc w:val="center"/>
                    <w:rPr>
                      <w:b/>
                      <w:bCs/>
                      <w:color w:val="auto"/>
                      <w:szCs w:val="21"/>
                    </w:rPr>
                  </w:pPr>
                  <w:r>
                    <w:rPr>
                      <w:b/>
                      <w:bCs/>
                      <w:color w:val="auto"/>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b/>
                      <w:bCs/>
                      <w:color w:val="auto"/>
                      <w:szCs w:val="21"/>
                    </w:rPr>
                    <w:t>经度</w:t>
                  </w:r>
                </w:p>
              </w:tc>
              <w:tc>
                <w:tcPr>
                  <w:tcW w:w="1096" w:type="pct"/>
                  <w:noWrap w:val="0"/>
                  <w:vAlign w:val="center"/>
                </w:tcPr>
                <w:p>
                  <w:pPr>
                    <w:jc w:val="center"/>
                    <w:rPr>
                      <w:rFonts w:hint="eastAsia"/>
                      <w:b/>
                      <w:bCs/>
                      <w:color w:val="auto"/>
                      <w:szCs w:val="21"/>
                    </w:rPr>
                  </w:pPr>
                  <w:r>
                    <w:rPr>
                      <w:rFonts w:hint="eastAsia"/>
                      <w:b/>
                      <w:bCs/>
                      <w:color w:val="auto"/>
                      <w:szCs w:val="21"/>
                    </w:rPr>
                    <w:t>纬度</w:t>
                  </w:r>
                </w:p>
              </w:tc>
              <w:tc>
                <w:tcPr>
                  <w:tcW w:w="628" w:type="pct"/>
                  <w:vMerge w:val="continue"/>
                  <w:noWrap w:val="0"/>
                  <w:vAlign w:val="center"/>
                </w:tcPr>
                <w:p>
                  <w:pPr>
                    <w:jc w:val="center"/>
                    <w:rPr>
                      <w:b/>
                      <w:bCs/>
                      <w:color w:val="auto"/>
                      <w:szCs w:val="21"/>
                    </w:rPr>
                  </w:pPr>
                </w:p>
              </w:tc>
              <w:tc>
                <w:tcPr>
                  <w:tcW w:w="412" w:type="pct"/>
                  <w:vMerge w:val="continue"/>
                  <w:noWrap w:val="0"/>
                  <w:vAlign w:val="center"/>
                </w:tcPr>
                <w:p>
                  <w:pPr>
                    <w:jc w:val="center"/>
                    <w:rPr>
                      <w:b/>
                      <w:bCs/>
                      <w:color w:val="auto"/>
                      <w:szCs w:val="21"/>
                    </w:rPr>
                  </w:pPr>
                </w:p>
              </w:tc>
              <w:tc>
                <w:tcPr>
                  <w:tcW w:w="403" w:type="pct"/>
                  <w:vMerge w:val="continue"/>
                  <w:noWrap w:val="0"/>
                  <w:vAlign w:val="center"/>
                </w:tcPr>
                <w:p>
                  <w:pPr>
                    <w:jc w:val="center"/>
                    <w:rPr>
                      <w:b/>
                      <w:bCs/>
                      <w:color w:val="auto"/>
                      <w:szCs w:val="21"/>
                    </w:rPr>
                  </w:pPr>
                </w:p>
              </w:tc>
              <w:tc>
                <w:tcPr>
                  <w:tcW w:w="469" w:type="pct"/>
                  <w:vMerge w:val="continue"/>
                  <w:noWrap w:val="0"/>
                  <w:vAlign w:val="center"/>
                </w:tcPr>
                <w:p>
                  <w:pPr>
                    <w:jc w:val="center"/>
                    <w:rPr>
                      <w:b/>
                      <w:bCs/>
                      <w:color w:val="auto"/>
                      <w:szCs w:val="21"/>
                    </w:rPr>
                  </w:pPr>
                </w:p>
              </w:tc>
              <w:tc>
                <w:tcPr>
                  <w:tcW w:w="415" w:type="pct"/>
                  <w:vMerge w:val="continue"/>
                  <w:noWrap w:val="0"/>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restart"/>
                  <w:noWrap w:val="0"/>
                  <w:vAlign w:val="center"/>
                </w:tcPr>
                <w:p>
                  <w:pPr>
                    <w:jc w:val="center"/>
                    <w:rPr>
                      <w:color w:val="auto"/>
                      <w:szCs w:val="21"/>
                    </w:rPr>
                  </w:pPr>
                  <w:r>
                    <w:rPr>
                      <w:color w:val="auto"/>
                      <w:szCs w:val="21"/>
                    </w:rPr>
                    <w:t>大气环境</w:t>
                  </w:r>
                </w:p>
              </w:tc>
              <w:tc>
                <w:tcPr>
                  <w:tcW w:w="1158" w:type="pct"/>
                  <w:noWrap w:val="0"/>
                  <w:vAlign w:val="center"/>
                </w:tcPr>
                <w:p>
                  <w:pPr>
                    <w:jc w:val="center"/>
                    <w:rPr>
                      <w:color w:val="auto"/>
                      <w:szCs w:val="21"/>
                    </w:rPr>
                  </w:pPr>
                  <w:r>
                    <w:rPr>
                      <w:rFonts w:hint="eastAsia"/>
                      <w:color w:val="auto"/>
                      <w:szCs w:val="21"/>
                    </w:rPr>
                    <w:t>108°56′23.35″</w:t>
                  </w:r>
                </w:p>
              </w:tc>
              <w:tc>
                <w:tcPr>
                  <w:tcW w:w="1096" w:type="pct"/>
                  <w:noWrap w:val="0"/>
                  <w:vAlign w:val="center"/>
                </w:tcPr>
                <w:p>
                  <w:pPr>
                    <w:jc w:val="center"/>
                    <w:rPr>
                      <w:color w:val="FF0000"/>
                      <w:szCs w:val="21"/>
                    </w:rPr>
                  </w:pPr>
                  <w:r>
                    <w:rPr>
                      <w:rFonts w:hint="eastAsia"/>
                      <w:color w:val="FF0000"/>
                      <w:szCs w:val="21"/>
                    </w:rPr>
                    <w:t>34°17′12.73″</w:t>
                  </w:r>
                </w:p>
              </w:tc>
              <w:tc>
                <w:tcPr>
                  <w:tcW w:w="628" w:type="pct"/>
                  <w:noWrap w:val="0"/>
                  <w:vAlign w:val="center"/>
                </w:tcPr>
                <w:p>
                  <w:pPr>
                    <w:jc w:val="center"/>
                    <w:rPr>
                      <w:rFonts w:hint="default" w:eastAsia="宋体"/>
                      <w:color w:val="FF0000"/>
                      <w:szCs w:val="21"/>
                      <w:lang w:val="en-US" w:eastAsia="zh-CN"/>
                    </w:rPr>
                  </w:pPr>
                  <w:r>
                    <w:rPr>
                      <w:rFonts w:hint="eastAsia"/>
                      <w:color w:val="FF0000"/>
                      <w:szCs w:val="21"/>
                      <w:lang w:val="en-US" w:eastAsia="zh-CN"/>
                    </w:rPr>
                    <w:t>上和城小区</w:t>
                  </w:r>
                </w:p>
              </w:tc>
              <w:tc>
                <w:tcPr>
                  <w:tcW w:w="412" w:type="pct"/>
                  <w:noWrap w:val="0"/>
                  <w:vAlign w:val="center"/>
                </w:tcPr>
                <w:p>
                  <w:pPr>
                    <w:jc w:val="center"/>
                    <w:rPr>
                      <w:rFonts w:hint="default" w:eastAsia="宋体"/>
                      <w:color w:val="FF0000"/>
                      <w:szCs w:val="21"/>
                      <w:lang w:val="en-US" w:eastAsia="zh-CN"/>
                    </w:rPr>
                  </w:pPr>
                  <w:r>
                    <w:rPr>
                      <w:rFonts w:hint="eastAsia"/>
                      <w:color w:val="FF0000"/>
                      <w:szCs w:val="21"/>
                      <w:lang w:val="en-US" w:eastAsia="zh-CN"/>
                    </w:rPr>
                    <w:t>2488人</w:t>
                  </w:r>
                </w:p>
              </w:tc>
              <w:tc>
                <w:tcPr>
                  <w:tcW w:w="403" w:type="pct"/>
                  <w:vMerge w:val="restart"/>
                  <w:noWrap w:val="0"/>
                  <w:vAlign w:val="center"/>
                </w:tcPr>
                <w:p>
                  <w:pPr>
                    <w:jc w:val="center"/>
                    <w:rPr>
                      <w:rFonts w:hint="eastAsia" w:eastAsia="宋体"/>
                      <w:color w:val="FF0000"/>
                      <w:szCs w:val="21"/>
                      <w:lang w:eastAsia="zh-CN"/>
                    </w:rPr>
                  </w:pPr>
                  <w:r>
                    <w:rPr>
                      <w:rFonts w:hint="eastAsia"/>
                      <w:color w:val="FF0000"/>
                      <w:szCs w:val="21"/>
                      <w:lang w:val="en-US" w:eastAsia="zh-CN"/>
                    </w:rPr>
                    <w:t>二类区</w:t>
                  </w:r>
                </w:p>
              </w:tc>
              <w:tc>
                <w:tcPr>
                  <w:tcW w:w="469" w:type="pct"/>
                  <w:noWrap w:val="0"/>
                  <w:vAlign w:val="center"/>
                </w:tcPr>
                <w:p>
                  <w:pPr>
                    <w:jc w:val="center"/>
                    <w:rPr>
                      <w:rFonts w:hint="eastAsia" w:eastAsia="宋体"/>
                      <w:color w:val="FF0000"/>
                      <w:szCs w:val="21"/>
                      <w:lang w:val="en-US" w:eastAsia="zh-CN"/>
                    </w:rPr>
                  </w:pPr>
                  <w:r>
                    <w:rPr>
                      <w:rFonts w:hint="eastAsia"/>
                      <w:color w:val="FF0000"/>
                      <w:szCs w:val="21"/>
                      <w:lang w:val="en-US" w:eastAsia="zh-CN"/>
                    </w:rPr>
                    <w:t>西</w:t>
                  </w:r>
                </w:p>
              </w:tc>
              <w:tc>
                <w:tcPr>
                  <w:tcW w:w="415" w:type="pct"/>
                  <w:noWrap w:val="0"/>
                  <w:vAlign w:val="center"/>
                </w:tcPr>
                <w:p>
                  <w:pPr>
                    <w:jc w:val="center"/>
                    <w:rPr>
                      <w:rFonts w:hint="default" w:eastAsia="宋体"/>
                      <w:color w:val="FF0000"/>
                      <w:szCs w:val="21"/>
                      <w:lang w:val="en-US" w:eastAsia="zh-CN"/>
                    </w:rPr>
                  </w:pPr>
                  <w:r>
                    <w:rPr>
                      <w:rFonts w:hint="eastAsia"/>
                      <w:color w:val="FF0000"/>
                      <w:szCs w:val="21"/>
                      <w:lang w:val="en-US" w:eastAsia="zh-CN"/>
                    </w:rPr>
                    <w:t>紧邻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108°56′31.95″</w:t>
                  </w:r>
                </w:p>
              </w:tc>
              <w:tc>
                <w:tcPr>
                  <w:tcW w:w="1096" w:type="pct"/>
                  <w:noWrap w:val="0"/>
                  <w:vAlign w:val="center"/>
                </w:tcPr>
                <w:p>
                  <w:pPr>
                    <w:jc w:val="center"/>
                    <w:rPr>
                      <w:rFonts w:hint="eastAsia"/>
                      <w:color w:val="auto"/>
                      <w:szCs w:val="21"/>
                    </w:rPr>
                  </w:pPr>
                  <w:r>
                    <w:rPr>
                      <w:rFonts w:hint="eastAsia"/>
                      <w:color w:val="auto"/>
                      <w:szCs w:val="21"/>
                    </w:rPr>
                    <w:t>34°17′13.06″</w:t>
                  </w:r>
                </w:p>
              </w:tc>
              <w:tc>
                <w:tcPr>
                  <w:tcW w:w="628" w:type="pct"/>
                  <w:noWrap w:val="0"/>
                  <w:vAlign w:val="center"/>
                </w:tcPr>
                <w:p>
                  <w:pPr>
                    <w:jc w:val="center"/>
                    <w:rPr>
                      <w:rFonts w:hint="eastAsia" w:eastAsia="宋体"/>
                      <w:color w:val="auto"/>
                      <w:szCs w:val="21"/>
                      <w:lang w:val="en-US" w:eastAsia="zh-CN"/>
                    </w:rPr>
                  </w:pPr>
                  <w:r>
                    <w:rPr>
                      <w:rFonts w:hint="eastAsia"/>
                      <w:color w:val="auto"/>
                      <w:szCs w:val="21"/>
                      <w:lang w:val="en-US" w:eastAsia="zh-CN"/>
                    </w:rPr>
                    <w:t>红星小区</w:t>
                  </w:r>
                </w:p>
              </w:tc>
              <w:tc>
                <w:tcPr>
                  <w:tcW w:w="412" w:type="pct"/>
                  <w:noWrap w:val="0"/>
                  <w:vAlign w:val="center"/>
                </w:tcPr>
                <w:p>
                  <w:pPr>
                    <w:jc w:val="center"/>
                    <w:rPr>
                      <w:rFonts w:hint="default" w:eastAsia="宋体"/>
                      <w:color w:val="auto"/>
                      <w:szCs w:val="21"/>
                      <w:lang w:val="en-US" w:eastAsia="zh-CN"/>
                    </w:rPr>
                  </w:pPr>
                  <w:r>
                    <w:rPr>
                      <w:rFonts w:hint="eastAsia"/>
                      <w:color w:val="auto"/>
                      <w:szCs w:val="21"/>
                      <w:lang w:val="en-US" w:eastAsia="zh-CN"/>
                    </w:rPr>
                    <w:t>225人</w:t>
                  </w:r>
                </w:p>
              </w:tc>
              <w:tc>
                <w:tcPr>
                  <w:tcW w:w="403" w:type="pct"/>
                  <w:vMerge w:val="continue"/>
                  <w:noWrap w:val="0"/>
                  <w:vAlign w:val="center"/>
                </w:tcPr>
                <w:p>
                  <w:pPr>
                    <w:jc w:val="center"/>
                    <w:rPr>
                      <w:rFonts w:hint="eastAsia"/>
                      <w:color w:val="auto"/>
                      <w:szCs w:val="21"/>
                    </w:rPr>
                  </w:pPr>
                </w:p>
              </w:tc>
              <w:tc>
                <w:tcPr>
                  <w:tcW w:w="469" w:type="pct"/>
                  <w:noWrap w:val="0"/>
                  <w:vAlign w:val="center"/>
                </w:tcPr>
                <w:p>
                  <w:pPr>
                    <w:jc w:val="center"/>
                    <w:rPr>
                      <w:rFonts w:hint="eastAsia" w:eastAsia="宋体"/>
                      <w:color w:val="auto"/>
                      <w:szCs w:val="21"/>
                      <w:lang w:val="en-US" w:eastAsia="zh-CN"/>
                    </w:rPr>
                  </w:pPr>
                  <w:r>
                    <w:rPr>
                      <w:rFonts w:hint="eastAsia"/>
                      <w:color w:val="auto"/>
                      <w:szCs w:val="21"/>
                      <w:lang w:val="en-US" w:eastAsia="zh-CN"/>
                    </w:rPr>
                    <w:t>东</w:t>
                  </w:r>
                </w:p>
              </w:tc>
              <w:tc>
                <w:tcPr>
                  <w:tcW w:w="415" w:type="pct"/>
                  <w:noWrap w:val="0"/>
                  <w:vAlign w:val="center"/>
                </w:tcPr>
                <w:p>
                  <w:pPr>
                    <w:jc w:val="center"/>
                    <w:rPr>
                      <w:rFonts w:hint="default" w:eastAsia="宋体"/>
                      <w:color w:val="auto"/>
                      <w:szCs w:val="21"/>
                      <w:lang w:val="en-US" w:eastAsia="zh-CN"/>
                    </w:rPr>
                  </w:pPr>
                  <w:r>
                    <w:rPr>
                      <w:rFonts w:hint="eastAsia"/>
                      <w:color w:val="auto"/>
                      <w:szCs w:val="21"/>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color w:val="auto"/>
                      <w:szCs w:val="21"/>
                    </w:rPr>
                  </w:pPr>
                  <w:r>
                    <w:rPr>
                      <w:rFonts w:hint="eastAsia"/>
                      <w:color w:val="auto"/>
                      <w:szCs w:val="21"/>
                    </w:rPr>
                    <w:t>108°56′23.63″</w:t>
                  </w:r>
                </w:p>
              </w:tc>
              <w:tc>
                <w:tcPr>
                  <w:tcW w:w="1096" w:type="pct"/>
                  <w:noWrap w:val="0"/>
                  <w:vAlign w:val="center"/>
                </w:tcPr>
                <w:p>
                  <w:pPr>
                    <w:jc w:val="center"/>
                    <w:rPr>
                      <w:color w:val="auto"/>
                      <w:szCs w:val="21"/>
                    </w:rPr>
                  </w:pPr>
                  <w:r>
                    <w:rPr>
                      <w:rFonts w:hint="eastAsia"/>
                      <w:color w:val="auto"/>
                      <w:szCs w:val="21"/>
                    </w:rPr>
                    <w:t>34°17′9.46″</w:t>
                  </w:r>
                </w:p>
              </w:tc>
              <w:tc>
                <w:tcPr>
                  <w:tcW w:w="628" w:type="pct"/>
                  <w:noWrap w:val="0"/>
                  <w:vAlign w:val="center"/>
                </w:tcPr>
                <w:p>
                  <w:pPr>
                    <w:jc w:val="center"/>
                    <w:rPr>
                      <w:rFonts w:hint="default" w:eastAsia="宋体"/>
                      <w:color w:val="auto"/>
                      <w:szCs w:val="21"/>
                      <w:lang w:val="en-US" w:eastAsia="zh-CN"/>
                    </w:rPr>
                  </w:pPr>
                  <w:r>
                    <w:rPr>
                      <w:rFonts w:hint="eastAsia"/>
                      <w:color w:val="auto"/>
                      <w:szCs w:val="21"/>
                      <w:lang w:val="en-US" w:eastAsia="zh-CN"/>
                    </w:rPr>
                    <w:t>纸箱厂小区</w:t>
                  </w:r>
                </w:p>
              </w:tc>
              <w:tc>
                <w:tcPr>
                  <w:tcW w:w="412" w:type="pct"/>
                  <w:noWrap w:val="0"/>
                  <w:vAlign w:val="center"/>
                </w:tcPr>
                <w:p>
                  <w:pPr>
                    <w:jc w:val="center"/>
                    <w:rPr>
                      <w:rFonts w:hint="default" w:eastAsia="宋体"/>
                      <w:color w:val="auto"/>
                      <w:szCs w:val="21"/>
                      <w:lang w:val="en-US" w:eastAsia="zh-CN"/>
                    </w:rPr>
                  </w:pPr>
                  <w:r>
                    <w:rPr>
                      <w:rFonts w:hint="eastAsia"/>
                      <w:color w:val="auto"/>
                      <w:szCs w:val="21"/>
                      <w:lang w:val="en-US" w:eastAsia="zh-CN"/>
                    </w:rPr>
                    <w:t>980人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eastAsia" w:eastAsia="宋体"/>
                      <w:color w:val="auto"/>
                      <w:szCs w:val="21"/>
                      <w:lang w:val="en-US" w:eastAsia="zh-CN"/>
                    </w:rPr>
                  </w:pPr>
                  <w:r>
                    <w:rPr>
                      <w:rFonts w:hint="eastAsia"/>
                      <w:color w:val="auto"/>
                      <w:szCs w:val="21"/>
                      <w:lang w:val="en-US" w:eastAsia="zh-CN"/>
                    </w:rPr>
                    <w:t>南</w:t>
                  </w:r>
                </w:p>
              </w:tc>
              <w:tc>
                <w:tcPr>
                  <w:tcW w:w="415" w:type="pct"/>
                  <w:noWrap w:val="0"/>
                  <w:vAlign w:val="center"/>
                </w:tcPr>
                <w:p>
                  <w:pPr>
                    <w:jc w:val="center"/>
                    <w:rPr>
                      <w:rFonts w:hint="default" w:eastAsia="宋体"/>
                      <w:color w:val="auto"/>
                      <w:szCs w:val="21"/>
                      <w:lang w:val="en-US" w:eastAsia="zh-CN"/>
                    </w:rPr>
                  </w:pPr>
                  <w:r>
                    <w:rPr>
                      <w:rFonts w:hint="eastAsia"/>
                      <w:color w:val="auto"/>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108°56′34.75″</w:t>
                  </w:r>
                </w:p>
              </w:tc>
              <w:tc>
                <w:tcPr>
                  <w:tcW w:w="1096" w:type="pct"/>
                  <w:noWrap w:val="0"/>
                  <w:vAlign w:val="center"/>
                </w:tcPr>
                <w:p>
                  <w:pPr>
                    <w:jc w:val="center"/>
                    <w:rPr>
                      <w:rFonts w:hint="eastAsia"/>
                      <w:color w:val="auto"/>
                      <w:szCs w:val="21"/>
                    </w:rPr>
                  </w:pPr>
                  <w:r>
                    <w:rPr>
                      <w:rFonts w:hint="eastAsia"/>
                      <w:color w:val="auto"/>
                      <w:szCs w:val="21"/>
                    </w:rPr>
                    <w:t>34°17′17.97″</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西安交大附属二院家属院</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2928人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东北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108°56′27.14″</w:t>
                  </w:r>
                </w:p>
              </w:tc>
              <w:tc>
                <w:tcPr>
                  <w:tcW w:w="1096" w:type="pct"/>
                  <w:noWrap w:val="0"/>
                  <w:vAlign w:val="center"/>
                </w:tcPr>
                <w:p>
                  <w:pPr>
                    <w:jc w:val="center"/>
                    <w:rPr>
                      <w:rFonts w:hint="eastAsia"/>
                      <w:color w:val="auto"/>
                      <w:szCs w:val="21"/>
                    </w:rPr>
                  </w:pPr>
                  <w:r>
                    <w:rPr>
                      <w:rFonts w:hint="eastAsia"/>
                      <w:color w:val="auto"/>
                      <w:szCs w:val="21"/>
                    </w:rPr>
                    <w:t>34°17′21.90″</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蓝海星座</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1560人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108°56′18.20″</w:t>
                  </w:r>
                </w:p>
              </w:tc>
              <w:tc>
                <w:tcPr>
                  <w:tcW w:w="1096" w:type="pct"/>
                  <w:noWrap w:val="0"/>
                  <w:vAlign w:val="center"/>
                </w:tcPr>
                <w:p>
                  <w:pPr>
                    <w:jc w:val="center"/>
                    <w:rPr>
                      <w:rFonts w:hint="eastAsia"/>
                      <w:color w:val="auto"/>
                      <w:szCs w:val="21"/>
                    </w:rPr>
                  </w:pPr>
                  <w:r>
                    <w:rPr>
                      <w:rFonts w:hint="eastAsia"/>
                      <w:color w:val="auto"/>
                      <w:szCs w:val="21"/>
                    </w:rPr>
                    <w:t>34°17′17.48″</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永福花园</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835人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西北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108°56′26.37″</w:t>
                  </w:r>
                </w:p>
              </w:tc>
              <w:tc>
                <w:tcPr>
                  <w:tcW w:w="1096" w:type="pct"/>
                  <w:noWrap w:val="0"/>
                  <w:vAlign w:val="center"/>
                </w:tcPr>
                <w:p>
                  <w:pPr>
                    <w:jc w:val="center"/>
                    <w:rPr>
                      <w:rFonts w:hint="eastAsia"/>
                      <w:color w:val="auto"/>
                      <w:szCs w:val="21"/>
                    </w:rPr>
                  </w:pPr>
                  <w:r>
                    <w:rPr>
                      <w:rFonts w:hint="eastAsia"/>
                      <w:color w:val="auto"/>
                      <w:szCs w:val="21"/>
                    </w:rPr>
                    <w:t>34°17′24.74″</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青门小区</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2916人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108°56′48.00″</w:t>
                  </w:r>
                </w:p>
              </w:tc>
              <w:tc>
                <w:tcPr>
                  <w:tcW w:w="1096" w:type="pct"/>
                  <w:noWrap w:val="0"/>
                  <w:vAlign w:val="center"/>
                </w:tcPr>
                <w:p>
                  <w:pPr>
                    <w:jc w:val="center"/>
                    <w:rPr>
                      <w:rFonts w:hint="eastAsia"/>
                      <w:color w:val="auto"/>
                      <w:szCs w:val="21"/>
                    </w:rPr>
                  </w:pPr>
                  <w:r>
                    <w:rPr>
                      <w:rFonts w:hint="eastAsia"/>
                      <w:color w:val="auto"/>
                      <w:szCs w:val="21"/>
                    </w:rPr>
                    <w:t>34°17′18.32″</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世纪金园</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642人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东</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108°56′35.06″</w:t>
                  </w:r>
                </w:p>
              </w:tc>
              <w:tc>
                <w:tcPr>
                  <w:tcW w:w="1096" w:type="pct"/>
                  <w:noWrap w:val="0"/>
                  <w:vAlign w:val="center"/>
                </w:tcPr>
                <w:p>
                  <w:pPr>
                    <w:jc w:val="center"/>
                    <w:rPr>
                      <w:rFonts w:hint="eastAsia"/>
                      <w:color w:val="auto"/>
                      <w:szCs w:val="21"/>
                    </w:rPr>
                  </w:pPr>
                  <w:r>
                    <w:rPr>
                      <w:rFonts w:hint="eastAsia"/>
                      <w:color w:val="auto"/>
                      <w:szCs w:val="21"/>
                    </w:rPr>
                    <w:t>34°17′9.21″</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味精厂家属院</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465人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东南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108°56′17.34″</w:t>
                  </w:r>
                </w:p>
              </w:tc>
              <w:tc>
                <w:tcPr>
                  <w:tcW w:w="1096" w:type="pct"/>
                  <w:noWrap w:val="0"/>
                  <w:vAlign w:val="center"/>
                </w:tcPr>
                <w:p>
                  <w:pPr>
                    <w:jc w:val="center"/>
                    <w:rPr>
                      <w:rFonts w:hint="eastAsia"/>
                      <w:color w:val="auto"/>
                      <w:szCs w:val="21"/>
                    </w:rPr>
                  </w:pPr>
                  <w:r>
                    <w:rPr>
                      <w:rFonts w:hint="eastAsia"/>
                      <w:color w:val="auto"/>
                      <w:szCs w:val="21"/>
                    </w:rPr>
                    <w:t>34°17′7.34″</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城市新苑</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2687人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西南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108°56′26.79″</w:t>
                  </w:r>
                </w:p>
              </w:tc>
              <w:tc>
                <w:tcPr>
                  <w:tcW w:w="1096" w:type="pct"/>
                  <w:noWrap w:val="0"/>
                  <w:vAlign w:val="center"/>
                </w:tcPr>
                <w:p>
                  <w:pPr>
                    <w:jc w:val="center"/>
                    <w:rPr>
                      <w:rFonts w:hint="eastAsia"/>
                      <w:color w:val="auto"/>
                      <w:szCs w:val="21"/>
                    </w:rPr>
                  </w:pPr>
                  <w:r>
                    <w:rPr>
                      <w:rFonts w:hint="eastAsia"/>
                      <w:color w:val="auto"/>
                      <w:szCs w:val="21"/>
                    </w:rPr>
                    <w:t>34°17′4.54″</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颐和花园小区</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986人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108°56′38.17″</w:t>
                  </w:r>
                </w:p>
              </w:tc>
              <w:tc>
                <w:tcPr>
                  <w:tcW w:w="1096" w:type="pct"/>
                  <w:noWrap w:val="0"/>
                  <w:vAlign w:val="center"/>
                </w:tcPr>
                <w:p>
                  <w:pPr>
                    <w:jc w:val="center"/>
                    <w:rPr>
                      <w:rFonts w:hint="eastAsia"/>
                      <w:color w:val="auto"/>
                      <w:szCs w:val="21"/>
                    </w:rPr>
                  </w:pPr>
                  <w:r>
                    <w:rPr>
                      <w:rFonts w:hint="eastAsia"/>
                      <w:color w:val="auto"/>
                      <w:szCs w:val="21"/>
                    </w:rPr>
                    <w:t>34°17′5.16″</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外院家属楼</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463人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东南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108°56′22.63″</w:t>
                  </w:r>
                </w:p>
              </w:tc>
              <w:tc>
                <w:tcPr>
                  <w:tcW w:w="1096" w:type="pct"/>
                  <w:noWrap w:val="0"/>
                  <w:vAlign w:val="center"/>
                </w:tcPr>
                <w:p>
                  <w:pPr>
                    <w:jc w:val="center"/>
                    <w:rPr>
                      <w:rFonts w:hint="eastAsia"/>
                      <w:color w:val="auto"/>
                      <w:szCs w:val="21"/>
                    </w:rPr>
                  </w:pPr>
                  <w:r>
                    <w:rPr>
                      <w:rFonts w:hint="eastAsia"/>
                      <w:color w:val="auto"/>
                      <w:szCs w:val="21"/>
                    </w:rPr>
                    <w:t>34°17′6.55″</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客车厂家属院</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284人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西南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108°56′11.78″</w:t>
                  </w:r>
                </w:p>
              </w:tc>
              <w:tc>
                <w:tcPr>
                  <w:tcW w:w="1096" w:type="pct"/>
                  <w:noWrap w:val="0"/>
                  <w:vAlign w:val="center"/>
                </w:tcPr>
                <w:p>
                  <w:pPr>
                    <w:jc w:val="center"/>
                    <w:rPr>
                      <w:rFonts w:hint="eastAsia"/>
                      <w:color w:val="auto"/>
                      <w:szCs w:val="21"/>
                    </w:rPr>
                  </w:pPr>
                  <w:r>
                    <w:rPr>
                      <w:rFonts w:hint="eastAsia"/>
                      <w:color w:val="auto"/>
                      <w:szCs w:val="21"/>
                    </w:rPr>
                    <w:t>34°17′5.37″</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大唐西市千和郡</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870人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西南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108°56′31.93″</w:t>
                  </w:r>
                </w:p>
              </w:tc>
              <w:tc>
                <w:tcPr>
                  <w:tcW w:w="1096" w:type="pct"/>
                  <w:noWrap w:val="0"/>
                  <w:vAlign w:val="center"/>
                </w:tcPr>
                <w:p>
                  <w:pPr>
                    <w:jc w:val="center"/>
                    <w:rPr>
                      <w:rFonts w:hint="eastAsia"/>
                      <w:color w:val="auto"/>
                      <w:szCs w:val="21"/>
                    </w:rPr>
                  </w:pPr>
                  <w:r>
                    <w:rPr>
                      <w:rFonts w:hint="eastAsia"/>
                      <w:color w:val="auto"/>
                      <w:szCs w:val="21"/>
                    </w:rPr>
                    <w:t>34°17′4.38″</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西安市第十中学</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2300人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108°56′35.63″</w:t>
                  </w:r>
                </w:p>
              </w:tc>
              <w:tc>
                <w:tcPr>
                  <w:tcW w:w="1096" w:type="pct"/>
                  <w:noWrap w:val="0"/>
                  <w:vAlign w:val="center"/>
                </w:tcPr>
                <w:p>
                  <w:pPr>
                    <w:jc w:val="center"/>
                    <w:rPr>
                      <w:rFonts w:hint="eastAsia"/>
                      <w:color w:val="auto"/>
                      <w:szCs w:val="21"/>
                    </w:rPr>
                  </w:pPr>
                  <w:r>
                    <w:rPr>
                      <w:rFonts w:hint="eastAsia"/>
                      <w:color w:val="auto"/>
                      <w:szCs w:val="21"/>
                    </w:rPr>
                    <w:t>34°17′24.50″</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金龙小区</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694人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东北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108°56′23.71″</w:t>
                  </w:r>
                </w:p>
              </w:tc>
              <w:tc>
                <w:tcPr>
                  <w:tcW w:w="1096" w:type="pct"/>
                  <w:noWrap w:val="0"/>
                  <w:vAlign w:val="center"/>
                </w:tcPr>
                <w:p>
                  <w:pPr>
                    <w:jc w:val="center"/>
                    <w:rPr>
                      <w:rFonts w:hint="eastAsia"/>
                      <w:color w:val="auto"/>
                      <w:szCs w:val="21"/>
                    </w:rPr>
                  </w:pPr>
                  <w:r>
                    <w:rPr>
                      <w:rFonts w:hint="eastAsia"/>
                      <w:color w:val="auto"/>
                      <w:szCs w:val="21"/>
                    </w:rPr>
                    <w:t>34°17′30.12″</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凤城花苑</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865人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108°56′12.50″</w:t>
                  </w:r>
                </w:p>
              </w:tc>
              <w:tc>
                <w:tcPr>
                  <w:tcW w:w="1096" w:type="pct"/>
                  <w:noWrap w:val="0"/>
                  <w:vAlign w:val="center"/>
                </w:tcPr>
                <w:p>
                  <w:pPr>
                    <w:jc w:val="center"/>
                    <w:rPr>
                      <w:rFonts w:hint="eastAsia"/>
                      <w:color w:val="auto"/>
                      <w:szCs w:val="21"/>
                    </w:rPr>
                  </w:pPr>
                  <w:r>
                    <w:rPr>
                      <w:rFonts w:hint="eastAsia"/>
                      <w:color w:val="auto"/>
                      <w:szCs w:val="21"/>
                    </w:rPr>
                    <w:t>34°17′27.03″</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青门东区</w:t>
                  </w:r>
                </w:p>
              </w:tc>
              <w:tc>
                <w:tcPr>
                  <w:tcW w:w="412" w:type="pct"/>
                  <w:noWrap w:val="0"/>
                  <w:vAlign w:val="center"/>
                </w:tcPr>
                <w:p>
                  <w:pPr>
                    <w:jc w:val="center"/>
                    <w:rPr>
                      <w:rFonts w:hint="default"/>
                      <w:color w:val="auto"/>
                      <w:szCs w:val="21"/>
                      <w:lang w:val="en-US" w:eastAsia="zh-CN"/>
                    </w:rPr>
                  </w:pPr>
                  <w:r>
                    <w:rPr>
                      <w:rFonts w:hint="eastAsia"/>
                      <w:color w:val="auto"/>
                      <w:szCs w:val="21"/>
                      <w:lang w:val="en-US" w:eastAsia="zh-CN"/>
                    </w:rPr>
                    <w:t>2312人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西北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color w:val="auto"/>
                      <w:szCs w:val="21"/>
                    </w:rPr>
                  </w:pPr>
                  <w:r>
                    <w:rPr>
                      <w:rFonts w:hint="eastAsia"/>
                      <w:color w:val="auto"/>
                      <w:szCs w:val="21"/>
                    </w:rPr>
                    <w:t>108°56′23.22″</w:t>
                  </w:r>
                </w:p>
              </w:tc>
              <w:tc>
                <w:tcPr>
                  <w:tcW w:w="1096" w:type="pct"/>
                  <w:noWrap w:val="0"/>
                  <w:vAlign w:val="center"/>
                </w:tcPr>
                <w:p>
                  <w:pPr>
                    <w:jc w:val="center"/>
                    <w:rPr>
                      <w:rFonts w:hint="eastAsia"/>
                      <w:color w:val="auto"/>
                      <w:szCs w:val="21"/>
                    </w:rPr>
                  </w:pPr>
                  <w:r>
                    <w:rPr>
                      <w:rFonts w:hint="eastAsia"/>
                      <w:color w:val="auto"/>
                      <w:szCs w:val="21"/>
                    </w:rPr>
                    <w:t>34°17′21.04″</w:t>
                  </w:r>
                </w:p>
              </w:tc>
              <w:tc>
                <w:tcPr>
                  <w:tcW w:w="628" w:type="pct"/>
                  <w:noWrap w:val="0"/>
                  <w:vAlign w:val="center"/>
                </w:tcPr>
                <w:p>
                  <w:pPr>
                    <w:jc w:val="center"/>
                    <w:rPr>
                      <w:rFonts w:hint="default"/>
                      <w:color w:val="auto"/>
                      <w:szCs w:val="21"/>
                      <w:lang w:val="en-US" w:eastAsia="zh-CN"/>
                    </w:rPr>
                  </w:pPr>
                  <w:r>
                    <w:rPr>
                      <w:rFonts w:hint="eastAsia"/>
                      <w:color w:val="auto"/>
                      <w:szCs w:val="21"/>
                      <w:lang w:val="en-US" w:eastAsia="zh-CN"/>
                    </w:rPr>
                    <w:t>金衡花园</w:t>
                  </w:r>
                </w:p>
              </w:tc>
              <w:tc>
                <w:tcPr>
                  <w:tcW w:w="412" w:type="pct"/>
                  <w:noWrap w:val="0"/>
                  <w:vAlign w:val="center"/>
                </w:tcPr>
                <w:p>
                  <w:pPr>
                    <w:jc w:val="center"/>
                    <w:rPr>
                      <w:rFonts w:hint="eastAsia"/>
                      <w:color w:val="auto"/>
                      <w:szCs w:val="21"/>
                      <w:lang w:val="en-US" w:eastAsia="zh-CN"/>
                    </w:rPr>
                  </w:pPr>
                  <w:r>
                    <w:rPr>
                      <w:rFonts w:hint="eastAsia"/>
                      <w:color w:val="auto"/>
                      <w:szCs w:val="21"/>
                      <w:lang w:val="en-US" w:eastAsia="zh-CN"/>
                    </w:rPr>
                    <w:t>412人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default"/>
                      <w:color w:val="auto"/>
                      <w:szCs w:val="21"/>
                      <w:lang w:val="en-US" w:eastAsia="zh-CN"/>
                    </w:rPr>
                  </w:pPr>
                  <w:r>
                    <w:rPr>
                      <w:rFonts w:hint="eastAsia"/>
                      <w:color w:val="auto"/>
                      <w:szCs w:val="21"/>
                      <w:lang w:val="en-US" w:eastAsia="zh-CN"/>
                    </w:rPr>
                    <w:t>西北</w:t>
                  </w:r>
                </w:p>
              </w:tc>
              <w:tc>
                <w:tcPr>
                  <w:tcW w:w="415" w:type="pct"/>
                  <w:noWrap w:val="0"/>
                  <w:vAlign w:val="center"/>
                </w:tcPr>
                <w:p>
                  <w:pPr>
                    <w:jc w:val="center"/>
                    <w:rPr>
                      <w:rFonts w:hint="default"/>
                      <w:color w:val="auto"/>
                      <w:szCs w:val="21"/>
                      <w:lang w:val="en-US" w:eastAsia="zh-CN"/>
                    </w:rPr>
                  </w:pPr>
                  <w:r>
                    <w:rPr>
                      <w:rFonts w:hint="eastAsia"/>
                      <w:color w:val="auto"/>
                      <w:szCs w:val="21"/>
                      <w:lang w:val="en-US" w:eastAsia="zh-CN"/>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restart"/>
                  <w:noWrap w:val="0"/>
                  <w:vAlign w:val="center"/>
                </w:tcPr>
                <w:p>
                  <w:pPr>
                    <w:jc w:val="center"/>
                    <w:rPr>
                      <w:color w:val="auto"/>
                      <w:szCs w:val="21"/>
                    </w:rPr>
                  </w:pPr>
                  <w:r>
                    <w:rPr>
                      <w:color w:val="auto"/>
                      <w:szCs w:val="21"/>
                    </w:rPr>
                    <w:t>声环境</w:t>
                  </w:r>
                </w:p>
              </w:tc>
              <w:tc>
                <w:tcPr>
                  <w:tcW w:w="1158"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108°56′23.35″</w:t>
                  </w:r>
                </w:p>
              </w:tc>
              <w:tc>
                <w:tcPr>
                  <w:tcW w:w="1096"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34°17′12.73″</w:t>
                  </w:r>
                </w:p>
              </w:tc>
              <w:tc>
                <w:tcPr>
                  <w:tcW w:w="628"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上和城1栋</w:t>
                  </w:r>
                </w:p>
              </w:tc>
              <w:tc>
                <w:tcPr>
                  <w:tcW w:w="412"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863人</w:t>
                  </w:r>
                </w:p>
              </w:tc>
              <w:tc>
                <w:tcPr>
                  <w:tcW w:w="403" w:type="pct"/>
                  <w:vMerge w:val="restart"/>
                  <w:noWrap w:val="0"/>
                  <w:vAlign w:val="center"/>
                </w:tcPr>
                <w:p>
                  <w:pPr>
                    <w:jc w:val="center"/>
                    <w:rPr>
                      <w:color w:val="auto"/>
                      <w:szCs w:val="21"/>
                    </w:rPr>
                  </w:pPr>
                  <w:r>
                    <w:rPr>
                      <w:rFonts w:hint="eastAsia"/>
                      <w:color w:val="auto"/>
                      <w:szCs w:val="21"/>
                      <w:lang w:val="en-US" w:eastAsia="zh-CN"/>
                    </w:rPr>
                    <w:t>1</w:t>
                  </w:r>
                  <w:r>
                    <w:rPr>
                      <w:color w:val="auto"/>
                      <w:szCs w:val="21"/>
                    </w:rPr>
                    <w:t>类</w:t>
                  </w:r>
                </w:p>
              </w:tc>
              <w:tc>
                <w:tcPr>
                  <w:tcW w:w="469"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西</w:t>
                  </w:r>
                </w:p>
              </w:tc>
              <w:tc>
                <w:tcPr>
                  <w:tcW w:w="415"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108°56′22.54″</w:t>
                  </w:r>
                </w:p>
              </w:tc>
              <w:tc>
                <w:tcPr>
                  <w:tcW w:w="1096"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34°17′14.39″</w:t>
                  </w:r>
                </w:p>
              </w:tc>
              <w:tc>
                <w:tcPr>
                  <w:tcW w:w="628"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上和城2栋</w:t>
                  </w:r>
                </w:p>
              </w:tc>
              <w:tc>
                <w:tcPr>
                  <w:tcW w:w="412"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980人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西北</w:t>
                  </w:r>
                </w:p>
              </w:tc>
              <w:tc>
                <w:tcPr>
                  <w:tcW w:w="415"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6" w:type="pct"/>
                  <w:vMerge w:val="continue"/>
                  <w:noWrap w:val="0"/>
                  <w:vAlign w:val="center"/>
                </w:tcPr>
                <w:p>
                  <w:pPr>
                    <w:jc w:val="center"/>
                    <w:rPr>
                      <w:color w:val="auto"/>
                      <w:szCs w:val="21"/>
                    </w:rPr>
                  </w:pPr>
                </w:p>
              </w:tc>
              <w:tc>
                <w:tcPr>
                  <w:tcW w:w="1158"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108°56′26.08″</w:t>
                  </w:r>
                </w:p>
              </w:tc>
              <w:tc>
                <w:tcPr>
                  <w:tcW w:w="1096"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34°17′15.04″</w:t>
                  </w:r>
                </w:p>
              </w:tc>
              <w:tc>
                <w:tcPr>
                  <w:tcW w:w="628"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上和城4号楼</w:t>
                  </w:r>
                </w:p>
              </w:tc>
              <w:tc>
                <w:tcPr>
                  <w:tcW w:w="412"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654人</w:t>
                  </w:r>
                </w:p>
              </w:tc>
              <w:tc>
                <w:tcPr>
                  <w:tcW w:w="403" w:type="pct"/>
                  <w:vMerge w:val="continue"/>
                  <w:noWrap w:val="0"/>
                  <w:vAlign w:val="center"/>
                </w:tcPr>
                <w:p>
                  <w:pPr>
                    <w:jc w:val="center"/>
                    <w:rPr>
                      <w:color w:val="auto"/>
                      <w:szCs w:val="21"/>
                    </w:rPr>
                  </w:pPr>
                </w:p>
              </w:tc>
              <w:tc>
                <w:tcPr>
                  <w:tcW w:w="469"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北</w:t>
                  </w:r>
                </w:p>
              </w:tc>
              <w:tc>
                <w:tcPr>
                  <w:tcW w:w="415"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21</w:t>
                  </w:r>
                </w:p>
              </w:tc>
            </w:tr>
          </w:tbl>
          <w:p>
            <w:pPr>
              <w:keepNext w:val="0"/>
              <w:keepLines w:val="0"/>
              <w:pageBreakBefore w:val="0"/>
              <w:widowControl w:val="0"/>
              <w:kinsoku/>
              <w:wordWrap w:val="0"/>
              <w:overflowPunct/>
              <w:topLinePunct w:val="0"/>
              <w:autoSpaceDE/>
              <w:autoSpaceDN/>
              <w:bidi w:val="0"/>
              <w:adjustRightInd w:val="0"/>
              <w:snapToGrid w:val="0"/>
              <w:spacing w:line="360" w:lineRule="auto"/>
              <w:ind w:firstLine="420" w:firstLineChars="200"/>
              <w:jc w:val="left"/>
              <w:textAlignment w:val="auto"/>
              <w:rPr>
                <w:rFonts w:hint="default"/>
                <w:color w:val="auto"/>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00" w:type="dxa"/>
            <w:noWrap w:val="0"/>
            <w:tcMar>
              <w:left w:w="28" w:type="dxa"/>
              <w:right w:w="28" w:type="dxa"/>
            </w:tcMar>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污染</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物排</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放控</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制标</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准</w:t>
            </w:r>
          </w:p>
        </w:tc>
        <w:tc>
          <w:tcPr>
            <w:tcW w:w="8190" w:type="dxa"/>
            <w:noWrap w:val="0"/>
            <w:vAlign w:val="center"/>
          </w:tcPr>
          <w:p>
            <w:pPr>
              <w:pStyle w:val="75"/>
              <w:adjustRightInd w:val="0"/>
              <w:snapToGrid w:val="0"/>
              <w:ind w:firstLine="422"/>
              <w:rPr>
                <w:rFonts w:hAnsi="Times New Roman" w:cs="Times New Roman"/>
                <w:b/>
                <w:snapToGrid w:val="0"/>
                <w:color w:val="auto"/>
                <w:kern w:val="0"/>
                <w:sz w:val="24"/>
                <w:szCs w:val="24"/>
              </w:rPr>
            </w:pPr>
            <w:r>
              <w:rPr>
                <w:rFonts w:hint="eastAsia" w:hAnsi="Times New Roman" w:cs="Times New Roman"/>
                <w:b/>
                <w:snapToGrid w:val="0"/>
                <w:color w:val="auto"/>
                <w:kern w:val="0"/>
                <w:sz w:val="24"/>
                <w:szCs w:val="24"/>
              </w:rPr>
              <w:t>1、大气污染物排放标准</w:t>
            </w:r>
          </w:p>
          <w:p>
            <w:pPr>
              <w:pStyle w:val="75"/>
              <w:keepNext w:val="0"/>
              <w:keepLines w:val="0"/>
              <w:pageBreakBefore w:val="0"/>
              <w:widowControl w:val="0"/>
              <w:kinsoku/>
              <w:wordWrap w:val="0"/>
              <w:overflowPunct/>
              <w:topLinePunct w:val="0"/>
              <w:autoSpaceDE/>
              <w:autoSpaceDN/>
              <w:bidi w:val="0"/>
              <w:adjustRightInd w:val="0"/>
              <w:snapToGrid w:val="0"/>
              <w:ind w:firstLine="420"/>
              <w:textAlignment w:val="auto"/>
              <w:rPr>
                <w:rFonts w:hint="default" w:hAnsi="Times New Roman" w:eastAsia="宋体" w:cs="Times New Roman"/>
                <w:bCs/>
                <w:snapToGrid w:val="0"/>
                <w:color w:val="auto"/>
                <w:kern w:val="0"/>
                <w:sz w:val="24"/>
                <w:szCs w:val="24"/>
                <w:lang w:val="en-US" w:eastAsia="zh-CN"/>
              </w:rPr>
            </w:pPr>
            <w:r>
              <w:rPr>
                <w:rFonts w:hAnsi="Times New Roman" w:cs="Times New Roman"/>
                <w:bCs/>
                <w:snapToGrid w:val="0"/>
                <w:color w:val="auto"/>
                <w:kern w:val="0"/>
                <w:sz w:val="24"/>
                <w:szCs w:val="24"/>
                <w:lang w:val="en-GB"/>
              </w:rPr>
              <w:t>污水处理站恶臭排放执行《医疗机构水污染物排放标准》（GB18466-2005）表3规定的最高允许浓度</w:t>
            </w:r>
            <w:r>
              <w:rPr>
                <w:rFonts w:hint="eastAsia" w:hAnsi="Times New Roman" w:cs="Times New Roman"/>
                <w:bCs/>
                <w:snapToGrid w:val="0"/>
                <w:color w:val="auto"/>
                <w:kern w:val="0"/>
                <w:sz w:val="24"/>
                <w:szCs w:val="24"/>
                <w:lang w:val="en-GB" w:eastAsia="zh-CN"/>
              </w:rPr>
              <w:t>；</w:t>
            </w:r>
            <w:r>
              <w:rPr>
                <w:rFonts w:hint="eastAsia" w:hAnsi="Times New Roman" w:cs="Times New Roman"/>
                <w:bCs/>
                <w:snapToGrid w:val="0"/>
                <w:color w:val="auto"/>
                <w:kern w:val="0"/>
                <w:sz w:val="24"/>
                <w:szCs w:val="24"/>
                <w:lang w:val="en-US" w:eastAsia="zh-CN"/>
              </w:rPr>
              <w:t>食堂油烟执行《饮食业油烟排放标准》（GB18483-2001）中小型规模相应标准；备用发电机烟气执行</w:t>
            </w:r>
            <w:r>
              <w:rPr>
                <w:rFonts w:hint="eastAsia"/>
                <w:color w:val="auto"/>
              </w:rPr>
              <w:t>《大气污染物综合排放标准》（GB16297-1996）</w:t>
            </w:r>
            <w:r>
              <w:rPr>
                <w:rFonts w:hint="eastAsia"/>
                <w:color w:val="auto"/>
                <w:lang w:val="en-US" w:eastAsia="zh-CN"/>
              </w:rPr>
              <w:t>相应标准</w:t>
            </w:r>
            <w:r>
              <w:rPr>
                <w:rFonts w:hint="eastAsia" w:hAnsi="Times New Roman" w:cs="Times New Roman"/>
                <w:bCs/>
                <w:snapToGrid w:val="0"/>
                <w:color w:val="auto"/>
                <w:kern w:val="0"/>
                <w:sz w:val="24"/>
                <w:szCs w:val="24"/>
                <w:lang w:val="en-US" w:eastAsia="zh-CN"/>
              </w:rPr>
              <w:t>。</w:t>
            </w:r>
          </w:p>
          <w:p>
            <w:pPr>
              <w:pStyle w:val="10"/>
              <w:spacing w:before="0" w:after="0" w:line="360" w:lineRule="auto"/>
              <w:ind w:right="0"/>
              <w:jc w:val="center"/>
              <w:rPr>
                <w:rFonts w:hint="default"/>
                <w:b/>
                <w:color w:val="auto"/>
                <w:sz w:val="21"/>
                <w:szCs w:val="21"/>
                <w:lang w:val="en-US" w:eastAsia="zh-CN"/>
              </w:rPr>
            </w:pPr>
            <w:r>
              <w:rPr>
                <w:rFonts w:hint="eastAsia"/>
                <w:b/>
                <w:color w:val="auto"/>
                <w:sz w:val="21"/>
                <w:szCs w:val="21"/>
                <w:lang w:val="en-US" w:eastAsia="zh-CN"/>
              </w:rPr>
              <w:t>表3-5  运营期大气污染物排放标准</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0"/>
              <w:gridCol w:w="840"/>
              <w:gridCol w:w="1376"/>
              <w:gridCol w:w="916"/>
              <w:gridCol w:w="1180"/>
              <w:gridCol w:w="534"/>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6" w:type="pct"/>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执行标准</w:t>
                  </w:r>
                </w:p>
              </w:tc>
              <w:tc>
                <w:tcPr>
                  <w:tcW w:w="499" w:type="pct"/>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污染物</w:t>
                  </w:r>
                </w:p>
              </w:tc>
              <w:tc>
                <w:tcPr>
                  <w:tcW w:w="817" w:type="pct"/>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最高允许排放浓度（</w:t>
                  </w:r>
                  <w:r>
                    <w:rPr>
                      <w:color w:val="auto"/>
                    </w:rPr>
                    <w:t>mg/m</w:t>
                  </w:r>
                  <w:r>
                    <w:rPr>
                      <w:color w:val="auto"/>
                      <w:vertAlign w:val="superscript"/>
                    </w:rPr>
                    <w:t>3</w:t>
                  </w:r>
                  <w:r>
                    <w:rPr>
                      <w:rFonts w:hint="eastAsia" w:cs="宋体"/>
                      <w:color w:val="auto"/>
                    </w:rPr>
                    <w:t>）</w:t>
                  </w:r>
                </w:p>
              </w:tc>
              <w:tc>
                <w:tcPr>
                  <w:tcW w:w="544" w:type="pct"/>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排气筒高度（</w:t>
                  </w:r>
                  <w:r>
                    <w:rPr>
                      <w:color w:val="auto"/>
                    </w:rPr>
                    <w:t>m</w:t>
                  </w:r>
                  <w:r>
                    <w:rPr>
                      <w:rFonts w:hint="eastAsia" w:cs="宋体"/>
                      <w:color w:val="auto"/>
                    </w:rPr>
                    <w:t>）</w:t>
                  </w:r>
                </w:p>
              </w:tc>
              <w:tc>
                <w:tcPr>
                  <w:tcW w:w="701" w:type="pct"/>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最高允许排放速率（</w:t>
                  </w:r>
                  <w:r>
                    <w:rPr>
                      <w:color w:val="auto"/>
                    </w:rPr>
                    <w:t>kg/h</w:t>
                  </w:r>
                  <w:r>
                    <w:rPr>
                      <w:rFonts w:hint="eastAsia" w:cs="宋体"/>
                      <w:color w:val="auto"/>
                    </w:rPr>
                    <w:t>）</w:t>
                  </w:r>
                </w:p>
              </w:tc>
              <w:tc>
                <w:tcPr>
                  <w:tcW w:w="110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6" w:type="pct"/>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p>
              </w:tc>
              <w:tc>
                <w:tcPr>
                  <w:tcW w:w="499" w:type="pct"/>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p>
              </w:tc>
              <w:tc>
                <w:tcPr>
                  <w:tcW w:w="817" w:type="pct"/>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p>
              </w:tc>
              <w:tc>
                <w:tcPr>
                  <w:tcW w:w="544" w:type="pct"/>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p>
              </w:tc>
              <w:tc>
                <w:tcPr>
                  <w:tcW w:w="701" w:type="pct"/>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p>
              </w:tc>
              <w:tc>
                <w:tcPr>
                  <w:tcW w:w="31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监控点</w:t>
                  </w:r>
                </w:p>
              </w:tc>
              <w:tc>
                <w:tcPr>
                  <w:tcW w:w="78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color w:val="auto"/>
                    </w:rPr>
                  </w:pPr>
                  <w:r>
                    <w:rPr>
                      <w:rFonts w:hint="eastAsia" w:cs="宋体"/>
                      <w:color w:val="auto"/>
                    </w:rPr>
                    <w:t>浓度限值（</w:t>
                  </w:r>
                  <w:r>
                    <w:rPr>
                      <w:color w:val="auto"/>
                    </w:rPr>
                    <w:t>mg/m</w:t>
                  </w:r>
                  <w:r>
                    <w:rPr>
                      <w:color w:val="auto"/>
                      <w:vertAlign w:val="superscript"/>
                    </w:rPr>
                    <w:t>3</w:t>
                  </w:r>
                  <w:r>
                    <w:rPr>
                      <w:rFonts w:hint="eastAsia" w:cs="宋体"/>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6" w:type="pct"/>
                  <w:vMerge w:val="restart"/>
                  <w:tcBorders>
                    <w:top w:val="single" w:color="auto" w:sz="4" w:space="0"/>
                    <w:left w:val="single" w:color="auto" w:sz="4" w:space="0"/>
                    <w:right w:val="single" w:color="auto" w:sz="4" w:space="0"/>
                  </w:tcBorders>
                  <w:vAlign w:val="center"/>
                </w:tcPr>
                <w:p>
                  <w:pPr>
                    <w:adjustRightInd w:val="0"/>
                    <w:snapToGrid w:val="0"/>
                    <w:spacing w:line="290" w:lineRule="exact"/>
                    <w:jc w:val="center"/>
                    <w:rPr>
                      <w:color w:val="auto"/>
                    </w:rPr>
                  </w:pPr>
                  <w:r>
                    <w:rPr>
                      <w:rFonts w:hint="eastAsia"/>
                      <w:color w:val="auto"/>
                    </w:rPr>
                    <w:t>《医疗机构水污染物排放标准》（GB18466-2005）</w:t>
                  </w:r>
                </w:p>
              </w:tc>
              <w:tc>
                <w:tcPr>
                  <w:tcW w:w="49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宋体"/>
                      <w:color w:val="auto"/>
                      <w:lang w:eastAsia="zh-CN"/>
                    </w:rPr>
                  </w:pPr>
                  <w:r>
                    <w:rPr>
                      <w:rFonts w:hint="eastAsia" w:cs="宋体"/>
                      <w:color w:val="auto"/>
                      <w:lang w:val="en-US" w:eastAsia="zh-CN"/>
                    </w:rPr>
                    <w:t>氨</w:t>
                  </w:r>
                </w:p>
              </w:tc>
              <w:tc>
                <w:tcPr>
                  <w:tcW w:w="81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宋体"/>
                      <w:color w:val="auto"/>
                      <w:lang w:eastAsia="zh-CN"/>
                    </w:rPr>
                  </w:pPr>
                  <w:r>
                    <w:rPr>
                      <w:rFonts w:hint="eastAsia"/>
                      <w:color w:val="auto"/>
                      <w:lang w:val="en-US" w:eastAsia="zh-CN"/>
                    </w:rPr>
                    <w:t>/</w:t>
                  </w:r>
                </w:p>
              </w:tc>
              <w:tc>
                <w:tcPr>
                  <w:tcW w:w="54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宋体"/>
                      <w:color w:val="auto"/>
                      <w:lang w:val="en-US" w:eastAsia="zh-CN"/>
                    </w:rPr>
                  </w:pPr>
                  <w:r>
                    <w:rPr>
                      <w:rFonts w:hint="eastAsia"/>
                      <w:color w:val="auto"/>
                      <w:lang w:val="en-US" w:eastAsia="zh-CN"/>
                    </w:rPr>
                    <w:t>/</w:t>
                  </w:r>
                </w:p>
              </w:tc>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宋体"/>
                      <w:color w:val="auto"/>
                      <w:lang w:val="en-US" w:eastAsia="zh-CN"/>
                    </w:rPr>
                  </w:pPr>
                  <w:r>
                    <w:rPr>
                      <w:rFonts w:hint="eastAsia"/>
                      <w:color w:val="auto"/>
                      <w:lang w:val="en-US" w:eastAsia="zh-CN"/>
                    </w:rPr>
                    <w:t>/</w:t>
                  </w:r>
                </w:p>
              </w:tc>
              <w:tc>
                <w:tcPr>
                  <w:tcW w:w="317" w:type="pct"/>
                  <w:vMerge w:val="restart"/>
                  <w:tcBorders>
                    <w:top w:val="single" w:color="auto" w:sz="4" w:space="0"/>
                    <w:left w:val="single" w:color="auto" w:sz="4" w:space="0"/>
                    <w:right w:val="single" w:color="auto" w:sz="4" w:space="0"/>
                  </w:tcBorders>
                  <w:vAlign w:val="center"/>
                </w:tcPr>
                <w:p>
                  <w:pPr>
                    <w:adjustRightInd w:val="0"/>
                    <w:snapToGrid w:val="0"/>
                    <w:spacing w:line="290" w:lineRule="exact"/>
                    <w:jc w:val="center"/>
                    <w:rPr>
                      <w:rFonts w:hint="default" w:eastAsia="宋体"/>
                      <w:color w:val="auto"/>
                      <w:lang w:val="en-US" w:eastAsia="zh-CN"/>
                    </w:rPr>
                  </w:pPr>
                  <w:r>
                    <w:rPr>
                      <w:rFonts w:hint="eastAsia"/>
                      <w:color w:val="auto"/>
                      <w:lang w:val="en-US" w:eastAsia="zh-CN"/>
                    </w:rPr>
                    <w:t>污水处理站周边</w:t>
                  </w:r>
                </w:p>
              </w:tc>
              <w:tc>
                <w:tcPr>
                  <w:tcW w:w="78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eastAsia="宋体"/>
                      <w:color w:val="auto"/>
                      <w:lang w:val="en-US" w:eastAsia="zh-CN"/>
                    </w:rPr>
                  </w:pPr>
                  <w:r>
                    <w:rPr>
                      <w:rFonts w:hint="eastAsia"/>
                      <w:color w:val="auto"/>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6" w:type="pct"/>
                  <w:vMerge w:val="continue"/>
                  <w:tcBorders>
                    <w:left w:val="single" w:color="auto" w:sz="4" w:space="0"/>
                    <w:right w:val="single" w:color="auto" w:sz="4" w:space="0"/>
                  </w:tcBorders>
                  <w:vAlign w:val="center"/>
                </w:tcPr>
                <w:p>
                  <w:pPr>
                    <w:adjustRightInd w:val="0"/>
                    <w:snapToGrid w:val="0"/>
                    <w:spacing w:line="290" w:lineRule="exact"/>
                    <w:jc w:val="center"/>
                    <w:rPr>
                      <w:rFonts w:hint="eastAsia"/>
                      <w:color w:val="auto"/>
                    </w:rPr>
                  </w:pPr>
                </w:p>
              </w:tc>
              <w:tc>
                <w:tcPr>
                  <w:tcW w:w="49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eastAsia="宋体" w:cs="宋体"/>
                      <w:color w:val="auto"/>
                      <w:lang w:val="en-US" w:eastAsia="zh-CN"/>
                    </w:rPr>
                  </w:pPr>
                  <w:r>
                    <w:rPr>
                      <w:rFonts w:hint="eastAsia" w:cs="宋体"/>
                      <w:color w:val="auto"/>
                      <w:lang w:val="en-US" w:eastAsia="zh-CN"/>
                    </w:rPr>
                    <w:t>硫化氢</w:t>
                  </w:r>
                </w:p>
              </w:tc>
              <w:tc>
                <w:tcPr>
                  <w:tcW w:w="81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54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317" w:type="pct"/>
                  <w:vMerge w:val="continue"/>
                  <w:tcBorders>
                    <w:left w:val="single" w:color="auto" w:sz="4" w:space="0"/>
                    <w:right w:val="single" w:color="auto" w:sz="4" w:space="0"/>
                  </w:tcBorders>
                  <w:vAlign w:val="center"/>
                </w:tcPr>
                <w:p>
                  <w:pPr>
                    <w:adjustRightInd w:val="0"/>
                    <w:snapToGrid w:val="0"/>
                    <w:spacing w:line="290" w:lineRule="exact"/>
                    <w:jc w:val="center"/>
                    <w:rPr>
                      <w:rFonts w:hint="eastAsia"/>
                      <w:color w:val="auto"/>
                      <w:lang w:val="en-US" w:eastAsia="zh-CN"/>
                    </w:rPr>
                  </w:pPr>
                </w:p>
              </w:tc>
              <w:tc>
                <w:tcPr>
                  <w:tcW w:w="78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6" w:type="pct"/>
                  <w:vMerge w:val="continue"/>
                  <w:tcBorders>
                    <w:left w:val="single" w:color="auto" w:sz="4" w:space="0"/>
                    <w:right w:val="single" w:color="auto" w:sz="4" w:space="0"/>
                  </w:tcBorders>
                  <w:vAlign w:val="center"/>
                </w:tcPr>
                <w:p>
                  <w:pPr>
                    <w:adjustRightInd w:val="0"/>
                    <w:snapToGrid w:val="0"/>
                    <w:spacing w:line="290" w:lineRule="exact"/>
                    <w:jc w:val="center"/>
                    <w:rPr>
                      <w:rFonts w:hint="eastAsia"/>
                      <w:color w:val="auto"/>
                    </w:rPr>
                  </w:pPr>
                </w:p>
              </w:tc>
              <w:tc>
                <w:tcPr>
                  <w:tcW w:w="49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s="宋体"/>
                      <w:color w:val="auto"/>
                      <w:lang w:val="en-US" w:eastAsia="zh-CN"/>
                    </w:rPr>
                  </w:pPr>
                  <w:r>
                    <w:rPr>
                      <w:rFonts w:hint="eastAsia" w:cs="宋体"/>
                      <w:color w:val="auto"/>
                      <w:lang w:val="en-US" w:eastAsia="zh-CN"/>
                    </w:rPr>
                    <w:t>臭气浓度（无量纲）</w:t>
                  </w:r>
                </w:p>
              </w:tc>
              <w:tc>
                <w:tcPr>
                  <w:tcW w:w="81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54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317" w:type="pct"/>
                  <w:vMerge w:val="continue"/>
                  <w:tcBorders>
                    <w:left w:val="single" w:color="auto" w:sz="4" w:space="0"/>
                    <w:right w:val="single" w:color="auto" w:sz="4" w:space="0"/>
                  </w:tcBorders>
                  <w:vAlign w:val="center"/>
                </w:tcPr>
                <w:p>
                  <w:pPr>
                    <w:adjustRightInd w:val="0"/>
                    <w:snapToGrid w:val="0"/>
                    <w:spacing w:line="290" w:lineRule="exact"/>
                    <w:jc w:val="center"/>
                    <w:rPr>
                      <w:rFonts w:hint="eastAsia"/>
                      <w:color w:val="auto"/>
                      <w:lang w:val="en-US" w:eastAsia="zh-CN"/>
                    </w:rPr>
                  </w:pPr>
                </w:p>
              </w:tc>
              <w:tc>
                <w:tcPr>
                  <w:tcW w:w="78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336" w:type="pct"/>
                  <w:tcBorders>
                    <w:left w:val="single" w:color="auto" w:sz="4" w:space="0"/>
                    <w:right w:val="single" w:color="auto" w:sz="4" w:space="0"/>
                  </w:tcBorders>
                  <w:vAlign w:val="center"/>
                </w:tcPr>
                <w:p>
                  <w:pPr>
                    <w:adjustRightInd w:val="0"/>
                    <w:snapToGrid w:val="0"/>
                    <w:spacing w:line="290" w:lineRule="exact"/>
                    <w:jc w:val="center"/>
                    <w:rPr>
                      <w:rFonts w:hint="eastAsia"/>
                      <w:color w:val="auto"/>
                    </w:rPr>
                  </w:pPr>
                  <w:r>
                    <w:rPr>
                      <w:rFonts w:hint="eastAsia"/>
                      <w:color w:val="auto"/>
                    </w:rPr>
                    <w:t>《饮食业油烟排放标准》（GB18483-2001）</w:t>
                  </w:r>
                </w:p>
              </w:tc>
              <w:tc>
                <w:tcPr>
                  <w:tcW w:w="49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s="宋体"/>
                      <w:color w:val="auto"/>
                      <w:lang w:val="en-US" w:eastAsia="zh-CN"/>
                    </w:rPr>
                  </w:pPr>
                  <w:r>
                    <w:rPr>
                      <w:rFonts w:hint="eastAsia" w:cs="宋体"/>
                      <w:color w:val="auto"/>
                      <w:lang w:val="en-US" w:eastAsia="zh-CN"/>
                    </w:rPr>
                    <w:t>油烟</w:t>
                  </w:r>
                </w:p>
              </w:tc>
              <w:tc>
                <w:tcPr>
                  <w:tcW w:w="81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2.0</w:t>
                  </w:r>
                </w:p>
              </w:tc>
              <w:tc>
                <w:tcPr>
                  <w:tcW w:w="54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w:t>
                  </w:r>
                </w:p>
              </w:tc>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w:t>
                  </w:r>
                </w:p>
              </w:tc>
              <w:tc>
                <w:tcPr>
                  <w:tcW w:w="317" w:type="pct"/>
                  <w:tcBorders>
                    <w:left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w:t>
                  </w:r>
                </w:p>
              </w:tc>
              <w:tc>
                <w:tcPr>
                  <w:tcW w:w="78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336" w:type="pct"/>
                  <w:vMerge w:val="restart"/>
                  <w:tcBorders>
                    <w:left w:val="single" w:color="auto" w:sz="4" w:space="0"/>
                    <w:right w:val="single" w:color="auto" w:sz="4" w:space="0"/>
                  </w:tcBorders>
                  <w:vAlign w:val="center"/>
                </w:tcPr>
                <w:p>
                  <w:pPr>
                    <w:adjustRightInd w:val="0"/>
                    <w:snapToGrid w:val="0"/>
                    <w:spacing w:line="290" w:lineRule="exact"/>
                    <w:jc w:val="center"/>
                    <w:rPr>
                      <w:rFonts w:hint="eastAsia"/>
                      <w:color w:val="auto"/>
                    </w:rPr>
                  </w:pPr>
                  <w:r>
                    <w:rPr>
                      <w:rFonts w:hint="eastAsia"/>
                      <w:color w:val="auto"/>
                    </w:rPr>
                    <w:t>《大气污染物综合排放标准》（GB16297-1996）</w:t>
                  </w:r>
                </w:p>
              </w:tc>
              <w:tc>
                <w:tcPr>
                  <w:tcW w:w="49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s="宋体"/>
                      <w:color w:val="auto"/>
                      <w:lang w:val="en-US" w:eastAsia="zh-CN"/>
                    </w:rPr>
                  </w:pPr>
                  <w:r>
                    <w:rPr>
                      <w:rFonts w:hint="eastAsia" w:cs="宋体"/>
                      <w:color w:val="auto"/>
                      <w:lang w:val="en-US" w:eastAsia="zh-CN"/>
                    </w:rPr>
                    <w:t>二氧化硫</w:t>
                  </w:r>
                </w:p>
              </w:tc>
              <w:tc>
                <w:tcPr>
                  <w:tcW w:w="81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550</w:t>
                  </w:r>
                </w:p>
              </w:tc>
              <w:tc>
                <w:tcPr>
                  <w:tcW w:w="54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317" w:type="pct"/>
                  <w:tcBorders>
                    <w:left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78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6" w:type="pct"/>
                  <w:vMerge w:val="continue"/>
                  <w:tcBorders>
                    <w:left w:val="single" w:color="auto" w:sz="4" w:space="0"/>
                    <w:right w:val="single" w:color="auto" w:sz="4" w:space="0"/>
                  </w:tcBorders>
                  <w:vAlign w:val="center"/>
                </w:tcPr>
                <w:p>
                  <w:pPr>
                    <w:adjustRightInd w:val="0"/>
                    <w:snapToGrid w:val="0"/>
                    <w:spacing w:line="290" w:lineRule="exact"/>
                    <w:jc w:val="center"/>
                    <w:rPr>
                      <w:rFonts w:hint="eastAsia"/>
                      <w:color w:val="auto"/>
                    </w:rPr>
                  </w:pPr>
                </w:p>
              </w:tc>
              <w:tc>
                <w:tcPr>
                  <w:tcW w:w="49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s="宋体"/>
                      <w:color w:val="auto"/>
                      <w:lang w:val="en-US" w:eastAsia="zh-CN"/>
                    </w:rPr>
                  </w:pPr>
                  <w:r>
                    <w:rPr>
                      <w:rFonts w:hint="eastAsia" w:cs="宋体"/>
                      <w:color w:val="auto"/>
                      <w:lang w:val="en-US" w:eastAsia="zh-CN"/>
                    </w:rPr>
                    <w:t>氮氧化物</w:t>
                  </w:r>
                </w:p>
              </w:tc>
              <w:tc>
                <w:tcPr>
                  <w:tcW w:w="81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default"/>
                      <w:color w:val="auto"/>
                      <w:lang w:val="en-US" w:eastAsia="zh-CN"/>
                    </w:rPr>
                  </w:pPr>
                  <w:r>
                    <w:rPr>
                      <w:rFonts w:hint="eastAsia"/>
                      <w:color w:val="auto"/>
                      <w:lang w:val="en-US" w:eastAsia="zh-CN"/>
                    </w:rPr>
                    <w:t>240</w:t>
                  </w:r>
                </w:p>
              </w:tc>
              <w:tc>
                <w:tcPr>
                  <w:tcW w:w="54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7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317" w:type="pct"/>
                  <w:tcBorders>
                    <w:left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78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90" w:lineRule="exact"/>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r>
          </w:tbl>
          <w:p>
            <w:pPr>
              <w:adjustRightInd w:val="0"/>
              <w:snapToGrid w:val="0"/>
              <w:spacing w:line="360" w:lineRule="auto"/>
              <w:ind w:firstLine="482" w:firstLineChars="200"/>
              <w:rPr>
                <w:b/>
                <w:snapToGrid w:val="0"/>
                <w:color w:val="auto"/>
                <w:kern w:val="0"/>
                <w:sz w:val="24"/>
                <w:szCs w:val="24"/>
                <w:lang w:val="en-GB"/>
              </w:rPr>
            </w:pPr>
            <w:r>
              <w:rPr>
                <w:b/>
                <w:snapToGrid w:val="0"/>
                <w:color w:val="auto"/>
                <w:kern w:val="0"/>
                <w:sz w:val="24"/>
                <w:szCs w:val="24"/>
              </w:rPr>
              <w:t>2</w:t>
            </w:r>
            <w:r>
              <w:rPr>
                <w:rFonts w:hint="eastAsia"/>
                <w:b/>
                <w:snapToGrid w:val="0"/>
                <w:color w:val="auto"/>
                <w:kern w:val="0"/>
                <w:sz w:val="24"/>
                <w:szCs w:val="24"/>
              </w:rPr>
              <w:t>、</w:t>
            </w:r>
            <w:r>
              <w:rPr>
                <w:b/>
                <w:snapToGrid w:val="0"/>
                <w:color w:val="auto"/>
                <w:kern w:val="0"/>
                <w:sz w:val="24"/>
                <w:szCs w:val="24"/>
                <w:lang w:val="en-GB"/>
              </w:rPr>
              <w:t>水</w:t>
            </w:r>
            <w:r>
              <w:rPr>
                <w:rFonts w:hint="eastAsia"/>
                <w:b/>
                <w:snapToGrid w:val="0"/>
                <w:color w:val="auto"/>
                <w:kern w:val="0"/>
                <w:sz w:val="24"/>
                <w:szCs w:val="24"/>
              </w:rPr>
              <w:t>污染物排放标准</w:t>
            </w:r>
          </w:p>
          <w:p>
            <w:pPr>
              <w:adjustRightInd w:val="0"/>
              <w:snapToGrid w:val="0"/>
              <w:spacing w:line="360" w:lineRule="auto"/>
              <w:ind w:firstLine="480" w:firstLineChars="200"/>
              <w:rPr>
                <w:bCs/>
                <w:snapToGrid w:val="0"/>
                <w:color w:val="auto"/>
                <w:kern w:val="0"/>
                <w:sz w:val="24"/>
                <w:szCs w:val="24"/>
                <w:lang w:val="en-GB"/>
              </w:rPr>
            </w:pPr>
            <w:r>
              <w:rPr>
                <w:bCs/>
                <w:snapToGrid w:val="0"/>
                <w:color w:val="auto"/>
                <w:kern w:val="0"/>
                <w:sz w:val="24"/>
                <w:szCs w:val="24"/>
                <w:lang w:val="en-GB"/>
              </w:rPr>
              <w:t>运营期废水执行《医疗机构水污染物排放标准》（GB18466-2005）表2中预处理标准</w:t>
            </w:r>
            <w:r>
              <w:rPr>
                <w:rFonts w:hint="eastAsia"/>
                <w:bCs/>
                <w:snapToGrid w:val="0"/>
                <w:color w:val="auto"/>
                <w:kern w:val="0"/>
                <w:sz w:val="24"/>
                <w:szCs w:val="24"/>
                <w:lang w:val="en-GB"/>
              </w:rPr>
              <w:t>及</w:t>
            </w:r>
            <w:r>
              <w:rPr>
                <w:bCs/>
                <w:snapToGrid w:val="0"/>
                <w:color w:val="auto"/>
                <w:kern w:val="0"/>
                <w:sz w:val="24"/>
                <w:szCs w:val="24"/>
                <w:lang w:val="en-GB"/>
              </w:rPr>
              <w:t>《污水排入城镇下水道水质标准》（GB</w:t>
            </w:r>
            <w:r>
              <w:rPr>
                <w:rFonts w:hint="eastAsia"/>
                <w:bCs/>
                <w:snapToGrid w:val="0"/>
                <w:color w:val="auto"/>
                <w:kern w:val="0"/>
                <w:sz w:val="24"/>
                <w:szCs w:val="24"/>
              </w:rPr>
              <w:t>/T</w:t>
            </w:r>
            <w:r>
              <w:rPr>
                <w:bCs/>
                <w:snapToGrid w:val="0"/>
                <w:color w:val="auto"/>
                <w:kern w:val="0"/>
                <w:sz w:val="24"/>
                <w:szCs w:val="24"/>
                <w:lang w:val="en-GB"/>
              </w:rPr>
              <w:t>31962-2015）</w:t>
            </w:r>
            <w:r>
              <w:rPr>
                <w:rFonts w:hint="eastAsia"/>
                <w:bCs/>
                <w:snapToGrid w:val="0"/>
                <w:color w:val="auto"/>
                <w:kern w:val="0"/>
                <w:sz w:val="24"/>
                <w:szCs w:val="24"/>
              </w:rPr>
              <w:t>A级</w:t>
            </w:r>
            <w:r>
              <w:rPr>
                <w:bCs/>
                <w:snapToGrid w:val="0"/>
                <w:color w:val="auto"/>
                <w:kern w:val="0"/>
                <w:sz w:val="24"/>
                <w:szCs w:val="24"/>
                <w:lang w:val="en-GB"/>
              </w:rPr>
              <w:t>标准</w:t>
            </w:r>
            <w:r>
              <w:rPr>
                <w:rFonts w:hint="eastAsia"/>
                <w:bCs/>
                <w:snapToGrid w:val="0"/>
                <w:color w:val="auto"/>
                <w:kern w:val="0"/>
                <w:sz w:val="24"/>
                <w:szCs w:val="24"/>
                <w:lang w:val="en-GB"/>
              </w:rPr>
              <w:t>。</w:t>
            </w:r>
          </w:p>
          <w:p>
            <w:pPr>
              <w:pStyle w:val="56"/>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eastAsia"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w:t>
            </w:r>
            <w:r>
              <w:rPr>
                <w:rFonts w:hint="eastAsia" w:ascii="Times New Roman" w:hAnsi="Times New Roman" w:eastAsia="宋体" w:cs="Times New Roman"/>
                <w:color w:val="auto"/>
                <w:sz w:val="21"/>
                <w:szCs w:val="21"/>
                <w:highlight w:val="none"/>
                <w:lang w:val="en-US" w:eastAsia="zh-CN"/>
              </w:rPr>
              <w:t>3-6</w:t>
            </w:r>
            <w:r>
              <w:rPr>
                <w:rFonts w:hint="eastAsia" w:ascii="Times New Roman" w:hAnsi="Times New Roman" w:eastAsia="宋体" w:cs="Times New Roman"/>
                <w:color w:val="auto"/>
                <w:sz w:val="21"/>
                <w:szCs w:val="21"/>
                <w:highlight w:val="none"/>
              </w:rPr>
              <w:t xml:space="preserve">    </w:t>
            </w:r>
            <w:r>
              <w:rPr>
                <w:rFonts w:hint="eastAsia" w:ascii="Times New Roman" w:hAnsi="Times New Roman" w:eastAsia="宋体" w:cs="Times New Roman"/>
                <w:color w:val="auto"/>
                <w:sz w:val="21"/>
                <w:szCs w:val="21"/>
                <w:highlight w:val="none"/>
                <w:lang w:val="en-US" w:eastAsia="zh-CN"/>
              </w:rPr>
              <w:t>运营期</w:t>
            </w:r>
            <w:r>
              <w:rPr>
                <w:rFonts w:hint="eastAsia" w:ascii="Times New Roman" w:hAnsi="Times New Roman" w:eastAsia="宋体" w:cs="Times New Roman"/>
                <w:color w:val="auto"/>
                <w:sz w:val="21"/>
                <w:szCs w:val="21"/>
                <w:highlight w:val="none"/>
              </w:rPr>
              <w:t>废水污染物排放标准    单位：</w:t>
            </w:r>
            <w:r>
              <w:rPr>
                <w:rFonts w:hint="default" w:ascii="Times New Roman" w:hAnsi="Times New Roman" w:eastAsia="宋体" w:cs="Times New Roman"/>
                <w:color w:val="auto"/>
                <w:sz w:val="21"/>
                <w:szCs w:val="21"/>
                <w:highlight w:val="none"/>
              </w:rPr>
              <w:t>mg/L</w:t>
            </w:r>
          </w:p>
          <w:tbl>
            <w:tblPr>
              <w:tblStyle w:val="27"/>
              <w:tblW w:w="0" w:type="auto"/>
              <w:jc w:val="center"/>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43"/>
              <w:gridCol w:w="635"/>
              <w:gridCol w:w="699"/>
              <w:gridCol w:w="513"/>
              <w:gridCol w:w="414"/>
              <w:gridCol w:w="414"/>
              <w:gridCol w:w="414"/>
              <w:gridCol w:w="590"/>
              <w:gridCol w:w="513"/>
              <w:gridCol w:w="777"/>
              <w:gridCol w:w="414"/>
              <w:gridCol w:w="579"/>
              <w:gridCol w:w="612"/>
            </w:tblGrid>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0" w:type="auto"/>
                  <w:tcBorders>
                    <w:tl2br w:val="nil"/>
                    <w:tr2bl w:val="nil"/>
                  </w:tcBorders>
                  <w:noWrap w:val="0"/>
                  <w:vAlign w:val="center"/>
                </w:tcPr>
                <w:p>
                  <w:pPr>
                    <w:pStyle w:val="61"/>
                    <w:jc w:val="center"/>
                    <w:rPr>
                      <w:rFonts w:hint="eastAsia" w:ascii="Times New Roman" w:hAnsi="Times New Roman" w:eastAsia="宋体" w:cs="Times New Roman"/>
                      <w:b w:val="0"/>
                      <w:color w:val="auto"/>
                      <w:szCs w:val="21"/>
                    </w:rPr>
                  </w:pPr>
                  <w:r>
                    <w:rPr>
                      <w:rFonts w:ascii="Times New Roman" w:hAnsi="Times New Roman" w:eastAsia="宋体" w:cs="Times New Roman"/>
                      <w:b w:val="0"/>
                      <w:color w:val="auto"/>
                      <w:szCs w:val="21"/>
                    </w:rPr>
                    <w:t>标</w:t>
                  </w:r>
                  <w:r>
                    <w:rPr>
                      <w:rFonts w:hint="eastAsia" w:ascii="Times New Roman" w:hAnsi="Times New Roman" w:eastAsia="宋体" w:cs="Times New Roman"/>
                      <w:b w:val="0"/>
                      <w:color w:val="auto"/>
                      <w:szCs w:val="21"/>
                    </w:rPr>
                    <w:t xml:space="preserve">  </w:t>
                  </w:r>
                  <w:r>
                    <w:rPr>
                      <w:rFonts w:ascii="Times New Roman" w:hAnsi="Times New Roman" w:eastAsia="宋体" w:cs="Times New Roman"/>
                      <w:b w:val="0"/>
                      <w:color w:val="auto"/>
                      <w:szCs w:val="21"/>
                    </w:rPr>
                    <w:t>准</w:t>
                  </w:r>
                  <w:r>
                    <w:rPr>
                      <w:rFonts w:hint="eastAsia" w:ascii="Times New Roman" w:hAnsi="Times New Roman" w:eastAsia="宋体" w:cs="Times New Roman"/>
                      <w:b w:val="0"/>
                      <w:color w:val="auto"/>
                      <w:szCs w:val="21"/>
                    </w:rPr>
                    <w:t xml:space="preserve">       </w:t>
                  </w:r>
                </w:p>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 xml:space="preserve"> 项  目</w:t>
                  </w:r>
                </w:p>
              </w:tc>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ascii="Times New Roman" w:hAnsi="Times New Roman" w:eastAsia="宋体" w:cs="Times New Roman"/>
                      <w:b w:val="0"/>
                      <w:color w:val="auto"/>
                      <w:szCs w:val="21"/>
                    </w:rPr>
                    <w:t>COD</w:t>
                  </w:r>
                </w:p>
              </w:tc>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ascii="Times New Roman" w:hAnsi="Times New Roman" w:eastAsia="宋体" w:cs="Times New Roman"/>
                      <w:b w:val="0"/>
                      <w:color w:val="auto"/>
                      <w:szCs w:val="21"/>
                    </w:rPr>
                    <w:t>BOD</w:t>
                  </w:r>
                  <w:r>
                    <w:rPr>
                      <w:rFonts w:ascii="Times New Roman" w:hAnsi="Times New Roman" w:eastAsia="宋体" w:cs="Times New Roman"/>
                      <w:b w:val="0"/>
                      <w:color w:val="auto"/>
                      <w:szCs w:val="21"/>
                      <w:vertAlign w:val="subscript"/>
                    </w:rPr>
                    <w:t>5</w:t>
                  </w:r>
                </w:p>
              </w:tc>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ascii="Times New Roman" w:hAnsi="Times New Roman" w:eastAsia="宋体" w:cs="Times New Roman"/>
                      <w:b w:val="0"/>
                      <w:color w:val="auto"/>
                      <w:szCs w:val="21"/>
                    </w:rPr>
                    <w:t>SS</w:t>
                  </w:r>
                </w:p>
              </w:tc>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ascii="Times New Roman" w:hAnsi="Times New Roman" w:eastAsia="宋体" w:cs="Times New Roman"/>
                      <w:b w:val="0"/>
                      <w:color w:val="auto"/>
                      <w:szCs w:val="21"/>
                    </w:rPr>
                    <w:t>氨氮</w:t>
                  </w:r>
                </w:p>
              </w:tc>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总氮</w:t>
                  </w:r>
                </w:p>
              </w:tc>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总磷</w:t>
                  </w:r>
                </w:p>
              </w:tc>
              <w:tc>
                <w:tcPr>
                  <w:tcW w:w="0" w:type="auto"/>
                  <w:tcBorders>
                    <w:tl2br w:val="nil"/>
                    <w:tr2bl w:val="nil"/>
                  </w:tcBorders>
                  <w:noWrap w:val="0"/>
                  <w:vAlign w:val="center"/>
                </w:tcPr>
                <w:p>
                  <w:pPr>
                    <w:pStyle w:val="61"/>
                    <w:jc w:val="center"/>
                    <w:rPr>
                      <w:rFonts w:hint="eastAsia" w:ascii="Times New Roman" w:hAnsi="Times New Roman" w:eastAsia="宋体" w:cs="Times New Roman"/>
                      <w:b w:val="0"/>
                      <w:color w:val="auto"/>
                      <w:szCs w:val="21"/>
                    </w:rPr>
                  </w:pPr>
                  <w:r>
                    <w:rPr>
                      <w:rFonts w:ascii="Times New Roman" w:hAnsi="Times New Roman" w:eastAsia="宋体" w:cs="Times New Roman"/>
                      <w:b w:val="0"/>
                      <w:color w:val="auto"/>
                      <w:szCs w:val="21"/>
                    </w:rPr>
                    <w:t>LAS</w:t>
                  </w:r>
                </w:p>
              </w:tc>
              <w:tc>
                <w:tcPr>
                  <w:tcW w:w="0" w:type="auto"/>
                  <w:tcBorders>
                    <w:tl2br w:val="nil"/>
                    <w:tr2bl w:val="nil"/>
                  </w:tcBorders>
                  <w:noWrap w:val="0"/>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动植物油</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pH</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石油类</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cs="Times New Roman"/>
                      <w:b w:val="0"/>
                      <w:color w:val="auto"/>
                      <w:szCs w:val="21"/>
                      <w:lang w:val="en-US" w:eastAsia="zh-CN"/>
                    </w:rPr>
                    <w:t>总余氯</w:t>
                  </w:r>
                </w:p>
              </w:tc>
              <w:tc>
                <w:tcPr>
                  <w:tcW w:w="0" w:type="auto"/>
                  <w:tcBorders>
                    <w:tl2br w:val="nil"/>
                    <w:tr2bl w:val="nil"/>
                  </w:tcBorders>
                  <w:noWrap w:val="0"/>
                  <w:vAlign w:val="center"/>
                </w:tcPr>
                <w:p>
                  <w:pPr>
                    <w:pStyle w:val="61"/>
                    <w:jc w:val="center"/>
                    <w:rPr>
                      <w:rFonts w:hint="default" w:cs="Times New Roman"/>
                      <w:b w:val="0"/>
                      <w:color w:val="auto"/>
                      <w:szCs w:val="21"/>
                      <w:lang w:val="en-US" w:eastAsia="zh-CN"/>
                    </w:rPr>
                  </w:pPr>
                  <w:r>
                    <w:rPr>
                      <w:rFonts w:hint="eastAsia" w:cs="Times New Roman"/>
                      <w:b w:val="0"/>
                      <w:color w:val="auto"/>
                      <w:szCs w:val="21"/>
                      <w:lang w:val="en-US" w:eastAsia="zh-CN"/>
                    </w:rPr>
                    <w:t>粪大肠杆菌</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《医疗机构水污染物排放标准》（GB18466-2005）</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250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100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60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6-9</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20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cs="Times New Roman"/>
                      <w:b w:val="0"/>
                      <w:color w:val="auto"/>
                      <w:szCs w:val="21"/>
                      <w:lang w:val="en-US" w:eastAsia="zh-CN"/>
                    </w:rPr>
                    <w:t>3-10</w:t>
                  </w:r>
                </w:p>
              </w:tc>
              <w:tc>
                <w:tcPr>
                  <w:tcW w:w="0" w:type="auto"/>
                  <w:tcBorders>
                    <w:tl2br w:val="nil"/>
                    <w:tr2bl w:val="nil"/>
                  </w:tcBorders>
                  <w:noWrap w:val="0"/>
                  <w:vAlign w:val="center"/>
                </w:tcPr>
                <w:p>
                  <w:pPr>
                    <w:pStyle w:val="61"/>
                    <w:jc w:val="center"/>
                    <w:rPr>
                      <w:rFonts w:hint="default" w:cs="Times New Roman"/>
                      <w:b w:val="0"/>
                      <w:color w:val="auto"/>
                      <w:szCs w:val="21"/>
                      <w:lang w:val="en-US" w:eastAsia="zh-CN"/>
                    </w:rPr>
                  </w:pPr>
                  <w:r>
                    <w:rPr>
                      <w:rFonts w:hint="eastAsia" w:cs="Times New Roman"/>
                      <w:b w:val="0"/>
                      <w:color w:val="auto"/>
                      <w:szCs w:val="21"/>
                      <w:lang w:val="en-US" w:eastAsia="zh-CN"/>
                    </w:rPr>
                    <w:t>5000个/L</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 w:hRule="atLeast"/>
                <w:jc w:val="center"/>
              </w:trPr>
              <w:tc>
                <w:tcPr>
                  <w:tcW w:w="0" w:type="auto"/>
                  <w:tcBorders>
                    <w:tl2br w:val="nil"/>
                    <w:tr2bl w:val="nil"/>
                  </w:tcBorders>
                  <w:noWrap w:val="0"/>
                  <w:vAlign w:val="center"/>
                </w:tcPr>
                <w:p>
                  <w:pPr>
                    <w:pStyle w:val="61"/>
                    <w:jc w:val="center"/>
                    <w:rPr>
                      <w:rFonts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《污水排入城镇下水道水质标准》（GB31962-2015）</w:t>
                  </w:r>
                  <w:r>
                    <w:rPr>
                      <w:rFonts w:hint="eastAsia" w:ascii="Times New Roman" w:hAnsi="Times New Roman" w:eastAsia="宋体" w:cs="Times New Roman"/>
                      <w:b w:val="0"/>
                      <w:color w:val="auto"/>
                      <w:szCs w:val="21"/>
                      <w:lang w:val="en-US" w:eastAsia="zh-CN"/>
                    </w:rPr>
                    <w:t>A</w:t>
                  </w:r>
                  <w:r>
                    <w:rPr>
                      <w:rFonts w:hint="eastAsia" w:ascii="Times New Roman" w:hAnsi="Times New Roman" w:eastAsia="宋体" w:cs="Times New Roman"/>
                      <w:b w:val="0"/>
                      <w:color w:val="auto"/>
                      <w:szCs w:val="21"/>
                    </w:rPr>
                    <w:t>级标</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500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350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400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45</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70</w:t>
                  </w:r>
                </w:p>
              </w:tc>
              <w:tc>
                <w:tcPr>
                  <w:tcW w:w="0" w:type="auto"/>
                  <w:tcBorders>
                    <w:tl2br w:val="nil"/>
                    <w:tr2bl w:val="nil"/>
                  </w:tcBorders>
                  <w:noWrap w:val="0"/>
                  <w:vAlign w:val="center"/>
                </w:tcPr>
                <w:p>
                  <w:pPr>
                    <w:pStyle w:val="61"/>
                    <w:jc w:val="center"/>
                    <w:rPr>
                      <w:rFonts w:hint="eastAsia"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8</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20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100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6.5-9.5</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15</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cs="Times New Roman"/>
                      <w:b w:val="0"/>
                      <w:color w:val="auto"/>
                      <w:szCs w:val="21"/>
                      <w:lang w:val="en-US" w:eastAsia="zh-CN"/>
                    </w:rPr>
                    <w:t>/</w:t>
                  </w:r>
                </w:p>
              </w:tc>
              <w:tc>
                <w:tcPr>
                  <w:tcW w:w="0" w:type="auto"/>
                  <w:tcBorders>
                    <w:tl2br w:val="nil"/>
                    <w:tr2bl w:val="nil"/>
                  </w:tcBorders>
                  <w:noWrap w:val="0"/>
                  <w:vAlign w:val="center"/>
                </w:tcPr>
                <w:p>
                  <w:pPr>
                    <w:pStyle w:val="61"/>
                    <w:jc w:val="center"/>
                    <w:rPr>
                      <w:rFonts w:hint="default" w:cs="Times New Roman"/>
                      <w:b w:val="0"/>
                      <w:color w:val="auto"/>
                      <w:szCs w:val="21"/>
                      <w:lang w:val="en-US" w:eastAsia="zh-CN"/>
                    </w:rPr>
                  </w:pPr>
                  <w:r>
                    <w:rPr>
                      <w:rFonts w:hint="eastAsia" w:cs="Times New Roman"/>
                      <w:b w:val="0"/>
                      <w:color w:val="auto"/>
                      <w:szCs w:val="21"/>
                      <w:lang w:val="en-US" w:eastAsia="zh-CN"/>
                    </w:rPr>
                    <w:t>/</w:t>
                  </w:r>
                </w:p>
              </w:tc>
            </w:tr>
            <w:tr>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4" w:hRule="atLeast"/>
                <w:jc w:val="center"/>
              </w:trPr>
              <w:tc>
                <w:tcPr>
                  <w:tcW w:w="0" w:type="auto"/>
                  <w:tcBorders>
                    <w:tl2br w:val="nil"/>
                    <w:tr2bl w:val="nil"/>
                  </w:tcBorders>
                  <w:noWrap w:val="0"/>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本项目执行</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250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100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60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45</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70</w:t>
                  </w:r>
                </w:p>
              </w:tc>
              <w:tc>
                <w:tcPr>
                  <w:tcW w:w="0" w:type="auto"/>
                  <w:tcBorders>
                    <w:tl2br w:val="nil"/>
                    <w:tr2bl w:val="nil"/>
                  </w:tcBorders>
                  <w:noWrap w:val="0"/>
                  <w:vAlign w:val="center"/>
                </w:tcPr>
                <w:p>
                  <w:pPr>
                    <w:pStyle w:val="61"/>
                    <w:jc w:val="center"/>
                    <w:rPr>
                      <w:rFonts w:hint="eastAsia"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8</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100</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6-9</w:t>
                  </w:r>
                </w:p>
              </w:tc>
              <w:tc>
                <w:tcPr>
                  <w:tcW w:w="0" w:type="auto"/>
                  <w:tcBorders>
                    <w:tl2br w:val="nil"/>
                    <w:tr2bl w:val="nil"/>
                  </w:tcBorders>
                  <w:noWrap w:val="0"/>
                  <w:vAlign w:val="center"/>
                </w:tcPr>
                <w:p>
                  <w:pPr>
                    <w:pStyle w:val="61"/>
                    <w:jc w:val="center"/>
                    <w:rPr>
                      <w:rFonts w:hint="eastAsia" w:ascii="Times New Roman" w:hAnsi="Times New Roman" w:eastAsia="宋体" w:cs="Times New Roman"/>
                      <w:b w:val="0"/>
                      <w:color w:val="auto"/>
                      <w:szCs w:val="21"/>
                      <w:lang w:val="en-US" w:eastAsia="zh-CN"/>
                    </w:rPr>
                  </w:pPr>
                  <w:r>
                    <w:rPr>
                      <w:rFonts w:hint="eastAsia" w:ascii="Times New Roman" w:hAnsi="Times New Roman" w:eastAsia="宋体" w:cs="Times New Roman"/>
                      <w:b w:val="0"/>
                      <w:color w:val="auto"/>
                      <w:szCs w:val="21"/>
                      <w:lang w:val="en-US" w:eastAsia="zh-CN"/>
                    </w:rPr>
                    <w:t>15</w:t>
                  </w:r>
                </w:p>
              </w:tc>
              <w:tc>
                <w:tcPr>
                  <w:tcW w:w="0" w:type="auto"/>
                  <w:tcBorders>
                    <w:tl2br w:val="nil"/>
                    <w:tr2bl w:val="nil"/>
                  </w:tcBorders>
                  <w:noWrap w:val="0"/>
                  <w:vAlign w:val="center"/>
                </w:tcPr>
                <w:p>
                  <w:pPr>
                    <w:pStyle w:val="61"/>
                    <w:jc w:val="center"/>
                    <w:rPr>
                      <w:rFonts w:hint="default" w:ascii="Times New Roman" w:hAnsi="Times New Roman" w:eastAsia="宋体" w:cs="Times New Roman"/>
                      <w:b w:val="0"/>
                      <w:color w:val="auto"/>
                      <w:szCs w:val="21"/>
                      <w:lang w:val="en-US" w:eastAsia="zh-CN"/>
                    </w:rPr>
                  </w:pPr>
                  <w:r>
                    <w:rPr>
                      <w:rFonts w:hint="eastAsia" w:cs="Times New Roman"/>
                      <w:b w:val="0"/>
                      <w:color w:val="auto"/>
                      <w:szCs w:val="21"/>
                      <w:lang w:val="en-US" w:eastAsia="zh-CN"/>
                    </w:rPr>
                    <w:t>3-10</w:t>
                  </w:r>
                </w:p>
              </w:tc>
              <w:tc>
                <w:tcPr>
                  <w:tcW w:w="0" w:type="auto"/>
                  <w:tcBorders>
                    <w:tl2br w:val="nil"/>
                    <w:tr2bl w:val="nil"/>
                  </w:tcBorders>
                  <w:noWrap w:val="0"/>
                  <w:vAlign w:val="center"/>
                </w:tcPr>
                <w:p>
                  <w:pPr>
                    <w:pStyle w:val="61"/>
                    <w:jc w:val="center"/>
                    <w:rPr>
                      <w:rFonts w:hint="default" w:cs="Times New Roman"/>
                      <w:b w:val="0"/>
                      <w:color w:val="auto"/>
                      <w:szCs w:val="21"/>
                      <w:lang w:val="en-US" w:eastAsia="zh-CN"/>
                    </w:rPr>
                  </w:pPr>
                  <w:r>
                    <w:rPr>
                      <w:rFonts w:hint="eastAsia" w:cs="Times New Roman"/>
                      <w:b w:val="0"/>
                      <w:color w:val="auto"/>
                      <w:szCs w:val="21"/>
                      <w:lang w:val="en-US" w:eastAsia="zh-CN"/>
                    </w:rPr>
                    <w:t>5000个/L</w:t>
                  </w:r>
                </w:p>
              </w:tc>
            </w:tr>
          </w:tbl>
          <w:p>
            <w:pPr>
              <w:adjustRightInd w:val="0"/>
              <w:snapToGrid w:val="0"/>
              <w:spacing w:line="360" w:lineRule="auto"/>
              <w:ind w:firstLine="482" w:firstLineChars="200"/>
              <w:rPr>
                <w:b/>
                <w:snapToGrid w:val="0"/>
                <w:color w:val="auto"/>
                <w:kern w:val="0"/>
                <w:sz w:val="24"/>
                <w:szCs w:val="24"/>
              </w:rPr>
            </w:pPr>
          </w:p>
          <w:p>
            <w:pPr>
              <w:adjustRightInd w:val="0"/>
              <w:snapToGrid w:val="0"/>
              <w:spacing w:line="360" w:lineRule="auto"/>
              <w:ind w:firstLine="482" w:firstLineChars="200"/>
              <w:rPr>
                <w:b/>
                <w:snapToGrid w:val="0"/>
                <w:color w:val="auto"/>
                <w:kern w:val="0"/>
                <w:sz w:val="24"/>
                <w:szCs w:val="24"/>
              </w:rPr>
            </w:pPr>
            <w:r>
              <w:rPr>
                <w:b/>
                <w:snapToGrid w:val="0"/>
                <w:color w:val="auto"/>
                <w:kern w:val="0"/>
                <w:sz w:val="24"/>
                <w:szCs w:val="24"/>
              </w:rPr>
              <w:t>3</w:t>
            </w:r>
            <w:r>
              <w:rPr>
                <w:rFonts w:hint="eastAsia"/>
                <w:b/>
                <w:snapToGrid w:val="0"/>
                <w:color w:val="auto"/>
                <w:kern w:val="0"/>
                <w:sz w:val="24"/>
                <w:szCs w:val="24"/>
              </w:rPr>
              <w:t>、</w:t>
            </w:r>
            <w:r>
              <w:rPr>
                <w:b/>
                <w:snapToGrid w:val="0"/>
                <w:color w:val="auto"/>
                <w:kern w:val="0"/>
                <w:sz w:val="24"/>
                <w:szCs w:val="24"/>
              </w:rPr>
              <w:t>噪声</w:t>
            </w:r>
            <w:r>
              <w:rPr>
                <w:rFonts w:hint="eastAsia"/>
                <w:b/>
                <w:snapToGrid w:val="0"/>
                <w:color w:val="auto"/>
                <w:kern w:val="0"/>
                <w:sz w:val="24"/>
                <w:szCs w:val="24"/>
              </w:rPr>
              <w:t>排放标准</w:t>
            </w:r>
          </w:p>
          <w:p>
            <w:pPr>
              <w:adjustRightInd w:val="0"/>
              <w:snapToGrid w:val="0"/>
              <w:spacing w:line="360" w:lineRule="auto"/>
              <w:ind w:firstLine="480" w:firstLineChars="200"/>
              <w:rPr>
                <w:rFonts w:hint="eastAsia"/>
                <w:bCs/>
                <w:snapToGrid w:val="0"/>
                <w:color w:val="auto"/>
                <w:kern w:val="0"/>
                <w:sz w:val="24"/>
                <w:szCs w:val="24"/>
                <w:lang w:val="en-GB"/>
              </w:rPr>
            </w:pPr>
            <w:r>
              <w:rPr>
                <w:bCs/>
                <w:snapToGrid w:val="0"/>
                <w:color w:val="auto"/>
                <w:kern w:val="0"/>
                <w:sz w:val="24"/>
                <w:szCs w:val="24"/>
                <w:lang w:val="en-GB"/>
              </w:rPr>
              <w:t>运营期</w:t>
            </w:r>
            <w:r>
              <w:rPr>
                <w:rFonts w:hint="eastAsia"/>
                <w:bCs/>
                <w:snapToGrid w:val="0"/>
                <w:color w:val="auto"/>
                <w:kern w:val="0"/>
                <w:sz w:val="24"/>
                <w:szCs w:val="24"/>
              </w:rPr>
              <w:t>项目厂界西侧、东侧</w:t>
            </w:r>
            <w:r>
              <w:rPr>
                <w:rFonts w:hint="eastAsia"/>
                <w:bCs/>
                <w:snapToGrid w:val="0"/>
                <w:color w:val="auto"/>
                <w:kern w:val="0"/>
                <w:sz w:val="24"/>
                <w:szCs w:val="24"/>
                <w:lang w:eastAsia="zh-CN"/>
              </w:rPr>
              <w:t>、</w:t>
            </w:r>
            <w:r>
              <w:rPr>
                <w:rFonts w:hint="eastAsia"/>
                <w:bCs/>
                <w:snapToGrid w:val="0"/>
                <w:color w:val="auto"/>
                <w:kern w:val="0"/>
                <w:sz w:val="24"/>
                <w:szCs w:val="24"/>
                <w:lang w:val="en-US" w:eastAsia="zh-CN"/>
              </w:rPr>
              <w:t>北侧</w:t>
            </w:r>
            <w:r>
              <w:rPr>
                <w:bCs/>
                <w:snapToGrid w:val="0"/>
                <w:color w:val="auto"/>
                <w:kern w:val="0"/>
                <w:sz w:val="24"/>
                <w:szCs w:val="24"/>
                <w:lang w:val="en-GB"/>
              </w:rPr>
              <w:t>噪声排放执行《工业企业厂界环境噪声排放标准》（GB12348</w:t>
            </w:r>
            <w:r>
              <w:rPr>
                <w:bCs/>
                <w:snapToGrid w:val="0"/>
                <w:color w:val="auto"/>
                <w:kern w:val="0"/>
                <w:sz w:val="24"/>
                <w:szCs w:val="24"/>
              </w:rPr>
              <w:t>-</w:t>
            </w:r>
            <w:r>
              <w:rPr>
                <w:bCs/>
                <w:snapToGrid w:val="0"/>
                <w:color w:val="auto"/>
                <w:kern w:val="0"/>
                <w:sz w:val="24"/>
                <w:szCs w:val="24"/>
                <w:lang w:val="en-GB"/>
              </w:rPr>
              <w:t>2008）中的</w:t>
            </w:r>
            <w:r>
              <w:rPr>
                <w:rFonts w:hint="eastAsia"/>
                <w:bCs/>
                <w:snapToGrid w:val="0"/>
                <w:color w:val="auto"/>
                <w:kern w:val="0"/>
                <w:sz w:val="24"/>
                <w:szCs w:val="24"/>
                <w:lang w:val="en-US" w:eastAsia="zh-CN"/>
              </w:rPr>
              <w:t>1</w:t>
            </w:r>
            <w:r>
              <w:rPr>
                <w:bCs/>
                <w:snapToGrid w:val="0"/>
                <w:color w:val="auto"/>
                <w:kern w:val="0"/>
                <w:sz w:val="24"/>
                <w:szCs w:val="24"/>
                <w:lang w:val="en-GB"/>
              </w:rPr>
              <w:t>类标准</w:t>
            </w:r>
            <w:r>
              <w:rPr>
                <w:rFonts w:hint="eastAsia"/>
                <w:bCs/>
                <w:snapToGrid w:val="0"/>
                <w:color w:val="auto"/>
                <w:kern w:val="0"/>
                <w:sz w:val="24"/>
                <w:szCs w:val="24"/>
                <w:lang w:val="en-GB"/>
              </w:rPr>
              <w:t>，项目厂界</w:t>
            </w:r>
            <w:r>
              <w:rPr>
                <w:rFonts w:hint="eastAsia"/>
                <w:bCs/>
                <w:snapToGrid w:val="0"/>
                <w:color w:val="auto"/>
                <w:kern w:val="0"/>
                <w:sz w:val="24"/>
                <w:szCs w:val="24"/>
              </w:rPr>
              <w:t>南侧噪声排放执行《工业企业厂界环境噪声排放标准》（GB12348-2008）中的4类标准</w:t>
            </w:r>
            <w:r>
              <w:rPr>
                <w:rFonts w:hint="eastAsia"/>
                <w:bCs/>
                <w:snapToGrid w:val="0"/>
                <w:color w:val="auto"/>
                <w:kern w:val="0"/>
                <w:sz w:val="24"/>
                <w:szCs w:val="24"/>
                <w:lang w:val="en-GB"/>
              </w:rPr>
              <w:t>。</w:t>
            </w:r>
          </w:p>
          <w:p>
            <w:pPr>
              <w:pStyle w:val="56"/>
              <w:keepNext w:val="0"/>
              <w:keepLines w:val="0"/>
              <w:pageBreakBefore w:val="0"/>
              <w:widowControl/>
              <w:kinsoku/>
              <w:wordWrap/>
              <w:overflowPunct/>
              <w:topLinePunct w:val="0"/>
              <w:autoSpaceDE/>
              <w:autoSpaceDN/>
              <w:bidi w:val="0"/>
              <w:adjustRightInd w:val="0"/>
              <w:snapToGrid w:val="0"/>
              <w:spacing w:before="0" w:after="0" w:line="240" w:lineRule="auto"/>
              <w:ind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表3-7  运营期噪声排放标准</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27"/>
              <w:gridCol w:w="2509"/>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1" w:type="dxa"/>
                  <w:tcBorders>
                    <w:top w:val="single" w:color="auto" w:sz="4" w:space="0"/>
                    <w:left w:val="single" w:color="auto" w:sz="4" w:space="0"/>
                    <w:bottom w:val="single" w:color="auto" w:sz="4" w:space="0"/>
                    <w:right w:val="single" w:color="auto" w:sz="4" w:space="0"/>
                  </w:tcBorders>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执行标准</w:t>
                  </w:r>
                </w:p>
              </w:tc>
              <w:tc>
                <w:tcPr>
                  <w:tcW w:w="2527" w:type="dxa"/>
                  <w:tcBorders>
                    <w:top w:val="single" w:color="auto" w:sz="4" w:space="0"/>
                    <w:left w:val="single" w:color="auto" w:sz="4" w:space="0"/>
                    <w:bottom w:val="single" w:color="auto" w:sz="4" w:space="0"/>
                    <w:right w:val="single" w:color="auto" w:sz="4" w:space="0"/>
                  </w:tcBorders>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昼间</w:t>
                  </w:r>
                </w:p>
              </w:tc>
              <w:tc>
                <w:tcPr>
                  <w:tcW w:w="2397" w:type="dxa"/>
                  <w:tcBorders>
                    <w:top w:val="single" w:color="auto" w:sz="4" w:space="0"/>
                    <w:left w:val="single" w:color="auto" w:sz="4" w:space="0"/>
                    <w:bottom w:val="single" w:color="auto" w:sz="4" w:space="0"/>
                    <w:right w:val="single" w:color="auto" w:sz="4" w:space="0"/>
                  </w:tcBorders>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1" w:type="dxa"/>
                  <w:tcBorders>
                    <w:top w:val="single" w:color="auto" w:sz="4" w:space="0"/>
                    <w:left w:val="single" w:color="auto" w:sz="4" w:space="0"/>
                    <w:bottom w:val="single" w:color="auto" w:sz="4" w:space="0"/>
                    <w:right w:val="single" w:color="auto" w:sz="4" w:space="0"/>
                  </w:tcBorders>
                  <w:vAlign w:val="center"/>
                </w:tcPr>
                <w:p>
                  <w:pPr>
                    <w:pStyle w:val="61"/>
                    <w:jc w:val="center"/>
                    <w:rPr>
                      <w:rFonts w:hint="eastAsia" w:ascii="Times New Roman" w:hAnsi="Times New Roman" w:eastAsia="宋体" w:cs="Times New Roman"/>
                      <w:b w:val="0"/>
                      <w:color w:val="auto"/>
                      <w:szCs w:val="21"/>
                    </w:rPr>
                  </w:pPr>
                  <w:r>
                    <w:rPr>
                      <w:rFonts w:hint="eastAsia" w:cs="Times New Roman"/>
                      <w:b w:val="0"/>
                      <w:color w:val="auto"/>
                      <w:szCs w:val="21"/>
                      <w:lang w:val="en-US" w:eastAsia="zh-CN"/>
                    </w:rPr>
                    <w:t>1</w:t>
                  </w:r>
                  <w:r>
                    <w:rPr>
                      <w:rFonts w:hint="eastAsia" w:ascii="Times New Roman" w:hAnsi="Times New Roman" w:eastAsia="宋体" w:cs="Times New Roman"/>
                      <w:b w:val="0"/>
                      <w:color w:val="auto"/>
                      <w:szCs w:val="21"/>
                    </w:rPr>
                    <w:t>类标准，dB(A)</w:t>
                  </w:r>
                </w:p>
              </w:tc>
              <w:tc>
                <w:tcPr>
                  <w:tcW w:w="2527" w:type="dxa"/>
                  <w:tcBorders>
                    <w:top w:val="single" w:color="auto" w:sz="4" w:space="0"/>
                    <w:left w:val="single" w:color="auto" w:sz="4" w:space="0"/>
                    <w:bottom w:val="single" w:color="auto" w:sz="4" w:space="0"/>
                    <w:right w:val="single" w:color="auto" w:sz="4" w:space="0"/>
                  </w:tcBorders>
                  <w:vAlign w:val="center"/>
                </w:tcPr>
                <w:p>
                  <w:pPr>
                    <w:pStyle w:val="61"/>
                    <w:jc w:val="center"/>
                    <w:rPr>
                      <w:rFonts w:hint="default" w:ascii="Times New Roman" w:hAnsi="Times New Roman" w:eastAsia="宋体" w:cs="Times New Roman"/>
                      <w:b w:val="0"/>
                      <w:color w:val="auto"/>
                      <w:szCs w:val="21"/>
                      <w:lang w:val="en-US" w:eastAsia="zh-CN"/>
                    </w:rPr>
                  </w:pPr>
                  <w:r>
                    <w:rPr>
                      <w:rFonts w:hint="eastAsia" w:cs="Times New Roman"/>
                      <w:b w:val="0"/>
                      <w:color w:val="auto"/>
                      <w:szCs w:val="21"/>
                      <w:lang w:val="en-US" w:eastAsia="zh-CN"/>
                    </w:rPr>
                    <w:t>55</w:t>
                  </w:r>
                </w:p>
              </w:tc>
              <w:tc>
                <w:tcPr>
                  <w:tcW w:w="2397" w:type="dxa"/>
                  <w:tcBorders>
                    <w:top w:val="single" w:color="auto" w:sz="4" w:space="0"/>
                    <w:left w:val="single" w:color="auto" w:sz="4" w:space="0"/>
                    <w:bottom w:val="single" w:color="auto" w:sz="4" w:space="0"/>
                    <w:right w:val="single" w:color="auto" w:sz="4" w:space="0"/>
                  </w:tcBorders>
                  <w:vAlign w:val="center"/>
                </w:tcPr>
                <w:p>
                  <w:pPr>
                    <w:pStyle w:val="61"/>
                    <w:jc w:val="center"/>
                    <w:rPr>
                      <w:rFonts w:hint="default" w:ascii="Times New Roman" w:hAnsi="Times New Roman" w:eastAsia="宋体" w:cs="Times New Roman"/>
                      <w:b w:val="0"/>
                      <w:color w:val="auto"/>
                      <w:szCs w:val="21"/>
                      <w:lang w:val="en-US" w:eastAsia="zh-CN"/>
                    </w:rPr>
                  </w:pPr>
                  <w:r>
                    <w:rPr>
                      <w:rFonts w:hint="eastAsia" w:cs="Times New Roman"/>
                      <w:b w:val="0"/>
                      <w:color w:val="auto"/>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1" w:type="dxa"/>
                  <w:tcBorders>
                    <w:top w:val="single" w:color="auto" w:sz="4" w:space="0"/>
                    <w:left w:val="single" w:color="auto" w:sz="4" w:space="0"/>
                    <w:bottom w:val="single" w:color="auto" w:sz="4" w:space="0"/>
                    <w:right w:val="single" w:color="auto" w:sz="4" w:space="0"/>
                  </w:tcBorders>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4类标准，dB(A)</w:t>
                  </w:r>
                </w:p>
              </w:tc>
              <w:tc>
                <w:tcPr>
                  <w:tcW w:w="2527" w:type="dxa"/>
                  <w:tcBorders>
                    <w:top w:val="single" w:color="auto" w:sz="4" w:space="0"/>
                    <w:left w:val="single" w:color="auto" w:sz="4" w:space="0"/>
                    <w:bottom w:val="single" w:color="auto" w:sz="4" w:space="0"/>
                    <w:right w:val="single" w:color="auto" w:sz="4" w:space="0"/>
                  </w:tcBorders>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70</w:t>
                  </w:r>
                </w:p>
              </w:tc>
              <w:tc>
                <w:tcPr>
                  <w:tcW w:w="2397" w:type="dxa"/>
                  <w:tcBorders>
                    <w:top w:val="single" w:color="auto" w:sz="4" w:space="0"/>
                    <w:left w:val="single" w:color="auto" w:sz="4" w:space="0"/>
                    <w:bottom w:val="single" w:color="auto" w:sz="4" w:space="0"/>
                    <w:right w:val="single" w:color="auto" w:sz="4" w:space="0"/>
                  </w:tcBorders>
                  <w:vAlign w:val="center"/>
                </w:tcPr>
                <w:p>
                  <w:pPr>
                    <w:pStyle w:val="61"/>
                    <w:jc w:val="center"/>
                    <w:rPr>
                      <w:rFonts w:hint="eastAsia" w:ascii="Times New Roman" w:hAnsi="Times New Roman" w:eastAsia="宋体" w:cs="Times New Roman"/>
                      <w:b w:val="0"/>
                      <w:color w:val="auto"/>
                      <w:szCs w:val="21"/>
                    </w:rPr>
                  </w:pPr>
                  <w:r>
                    <w:rPr>
                      <w:rFonts w:hint="eastAsia" w:ascii="Times New Roman" w:hAnsi="Times New Roman" w:eastAsia="宋体" w:cs="Times New Roman"/>
                      <w:b w:val="0"/>
                      <w:color w:val="auto"/>
                      <w:szCs w:val="21"/>
                    </w:rPr>
                    <w:t>55</w:t>
                  </w:r>
                </w:p>
              </w:tc>
            </w:tr>
          </w:tbl>
          <w:p>
            <w:pPr>
              <w:adjustRightInd w:val="0"/>
              <w:snapToGrid w:val="0"/>
              <w:spacing w:line="360" w:lineRule="auto"/>
              <w:ind w:firstLine="482" w:firstLineChars="200"/>
              <w:rPr>
                <w:bCs/>
                <w:snapToGrid w:val="0"/>
                <w:color w:val="auto"/>
                <w:kern w:val="0"/>
                <w:sz w:val="24"/>
                <w:szCs w:val="24"/>
                <w:lang w:val="en-GB"/>
              </w:rPr>
            </w:pPr>
            <w:r>
              <w:rPr>
                <w:b/>
                <w:snapToGrid w:val="0"/>
                <w:color w:val="auto"/>
                <w:kern w:val="0"/>
                <w:sz w:val="24"/>
                <w:szCs w:val="24"/>
              </w:rPr>
              <w:t>4</w:t>
            </w:r>
            <w:r>
              <w:rPr>
                <w:rFonts w:hint="eastAsia"/>
                <w:b/>
                <w:snapToGrid w:val="0"/>
                <w:color w:val="auto"/>
                <w:kern w:val="0"/>
                <w:sz w:val="24"/>
                <w:szCs w:val="24"/>
              </w:rPr>
              <w:t>、</w:t>
            </w:r>
            <w:r>
              <w:rPr>
                <w:b/>
                <w:snapToGrid w:val="0"/>
                <w:color w:val="auto"/>
                <w:kern w:val="0"/>
                <w:sz w:val="24"/>
                <w:szCs w:val="24"/>
                <w:lang w:val="en-GB"/>
              </w:rPr>
              <w:t>固体废物</w:t>
            </w:r>
            <w:r>
              <w:rPr>
                <w:rFonts w:hint="eastAsia"/>
                <w:b/>
                <w:snapToGrid w:val="0"/>
                <w:color w:val="auto"/>
                <w:kern w:val="0"/>
                <w:sz w:val="24"/>
                <w:szCs w:val="24"/>
              </w:rPr>
              <w:t>排放标准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SA"/>
              </w:rPr>
            </w:pPr>
            <w:r>
              <w:rPr>
                <w:bCs/>
                <w:snapToGrid w:val="0"/>
                <w:color w:val="auto"/>
                <w:kern w:val="0"/>
                <w:sz w:val="24"/>
                <w:szCs w:val="24"/>
                <w:lang w:val="en-GB"/>
              </w:rPr>
              <w:t>医疗废物排放</w:t>
            </w:r>
            <w:r>
              <w:rPr>
                <w:rFonts w:hint="eastAsia"/>
                <w:bCs/>
                <w:snapToGrid w:val="0"/>
                <w:color w:val="auto"/>
                <w:kern w:val="0"/>
                <w:sz w:val="24"/>
                <w:szCs w:val="24"/>
                <w:lang w:val="en-US" w:eastAsia="zh-CN"/>
              </w:rPr>
              <w:t>参照</w:t>
            </w:r>
            <w:r>
              <w:rPr>
                <w:bCs/>
                <w:snapToGrid w:val="0"/>
                <w:color w:val="auto"/>
                <w:kern w:val="0"/>
                <w:sz w:val="24"/>
                <w:szCs w:val="24"/>
                <w:lang w:val="en-GB"/>
              </w:rPr>
              <w:t>执行《危险废物贮存污染控制标准》（GB18597-2001）及其2013年修改单；一般固体废物执行</w:t>
            </w:r>
            <w:r>
              <w:rPr>
                <w:bCs/>
                <w:snapToGrid w:val="0"/>
                <w:color w:val="auto"/>
                <w:kern w:val="0"/>
                <w:sz w:val="24"/>
                <w:szCs w:val="24"/>
              </w:rPr>
              <w:t>《一般工业固体废物贮存和填埋污染控制标准》（GB18599-</w:t>
            </w:r>
            <w:r>
              <w:rPr>
                <w:rFonts w:hint="eastAsia"/>
                <w:bCs/>
                <w:snapToGrid w:val="0"/>
                <w:color w:val="auto"/>
                <w:kern w:val="0"/>
                <w:sz w:val="24"/>
                <w:szCs w:val="24"/>
              </w:rPr>
              <w:t>2020</w:t>
            </w:r>
            <w:r>
              <w:rPr>
                <w:bCs/>
                <w:snapToGrid w:val="0"/>
                <w:color w:val="auto"/>
                <w:kern w:val="0"/>
                <w:sz w:val="24"/>
                <w:szCs w:val="24"/>
              </w:rPr>
              <w:t>）</w:t>
            </w:r>
            <w:r>
              <w:rPr>
                <w:bCs/>
                <w:snapToGrid w:val="0"/>
                <w:color w:val="auto"/>
                <w:kern w:val="0"/>
                <w:sz w:val="24"/>
                <w:szCs w:val="24"/>
                <w:lang w:val="en-GB"/>
              </w:rPr>
              <w:t>；</w:t>
            </w:r>
            <w:r>
              <w:rPr>
                <w:bCs/>
                <w:snapToGrid w:val="0"/>
                <w:color w:val="auto"/>
                <w:kern w:val="0"/>
                <w:sz w:val="24"/>
                <w:szCs w:val="24"/>
              </w:rPr>
              <w:t>污水处理站污泥执行《医疗机构水污染物排放标准》（GB18466-2005）中医疗机构污泥控制标准</w:t>
            </w:r>
            <w:r>
              <w:rPr>
                <w:rFonts w:hint="eastAsia" w:ascii="Times New Roman" w:hAnsi="Times New Roman" w:eastAsia="宋体" w:cs="Times New Roman"/>
                <w:color w:val="auto"/>
                <w:kern w:val="0"/>
                <w:sz w:val="24"/>
                <w:szCs w:val="24"/>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color w:val="auto"/>
                <w:kern w:val="0"/>
                <w:szCs w:val="21"/>
              </w:rPr>
            </w:pPr>
            <w:r>
              <w:rPr>
                <w:rFonts w:hint="eastAsia" w:cs="Times New Roman"/>
                <w:color w:val="auto"/>
                <w:kern w:val="0"/>
                <w:sz w:val="24"/>
                <w:szCs w:val="24"/>
                <w:lang w:val="en-US" w:eastAsia="zh-CN" w:bidi="ar-SA"/>
              </w:rPr>
              <w:t>5</w:t>
            </w:r>
            <w:r>
              <w:rPr>
                <w:rFonts w:hint="eastAsia" w:ascii="Times New Roman" w:hAnsi="Times New Roman" w:eastAsia="宋体" w:cs="Times New Roman"/>
                <w:color w:val="auto"/>
                <w:kern w:val="0"/>
                <w:sz w:val="24"/>
                <w:szCs w:val="24"/>
                <w:lang w:val="en-US" w:eastAsia="zh-CN" w:bidi="ar-SA"/>
              </w:rPr>
              <w:t>、其他标准按国家有关规定执行。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6" w:hRule="atLeast"/>
          <w:jc w:val="center"/>
        </w:trPr>
        <w:tc>
          <w:tcPr>
            <w:tcW w:w="800"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总量</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控制</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指标</w:t>
            </w:r>
          </w:p>
        </w:tc>
        <w:tc>
          <w:tcPr>
            <w:tcW w:w="8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lang w:val="en-US" w:eastAsia="zh-CN"/>
              </w:rPr>
            </w:pPr>
            <w:r>
              <w:rPr>
                <w:rFonts w:hint="eastAsia"/>
                <w:bCs/>
                <w:snapToGrid w:val="0"/>
                <w:color w:val="auto"/>
                <w:kern w:val="0"/>
                <w:sz w:val="24"/>
                <w:szCs w:val="24"/>
                <w:lang w:val="en-US" w:eastAsia="zh-CN"/>
              </w:rPr>
              <w:t>根据《排污许可证申请与核发技术规范  医疗机构》（HJ 1105-2020）5.1，“医疗机构排污单位医疗污水仅许可排放浓度，不设置许可排放量要求。单独排入城镇集中污水处理设施的生活污水仅说明排放去向。”故本项目仅核算许可排放浓度即可，本项目许可排放浓度见上文表3-6。</w:t>
            </w:r>
          </w:p>
        </w:tc>
      </w:tr>
    </w:tbl>
    <w:p>
      <w:pPr>
        <w:pStyle w:val="22"/>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6"/>
          <w:szCs w:val="36"/>
        </w:rPr>
        <w:br w:type="page"/>
      </w:r>
      <w:r>
        <w:rPr>
          <w:rFonts w:hint="default" w:ascii="Times New Roman" w:hAnsi="Times New Roman" w:eastAsia="黑体" w:cs="Times New Roman"/>
          <w:snapToGrid w:val="0"/>
          <w:color w:val="auto"/>
          <w:sz w:val="30"/>
          <w:szCs w:val="30"/>
        </w:rPr>
        <w:t>四、主要环境影响和保护措施</w:t>
      </w:r>
    </w:p>
    <w:tbl>
      <w:tblPr>
        <w:tblStyle w:val="2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61"/>
        <w:gridCol w:w="87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512" w:hRule="atLeast"/>
          <w:jc w:val="center"/>
        </w:trPr>
        <w:tc>
          <w:tcPr>
            <w:tcW w:w="260" w:type="dxa"/>
            <w:noWrap w:val="0"/>
            <w:tcMar>
              <w:left w:w="28" w:type="dxa"/>
              <w:right w:w="28" w:type="dxa"/>
            </w:tcMar>
            <w:vAlign w:val="center"/>
          </w:tcPr>
          <w:p>
            <w:pPr>
              <w:pStyle w:val="22"/>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施工</w:t>
            </w:r>
          </w:p>
          <w:p>
            <w:pPr>
              <w:pStyle w:val="22"/>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期环</w:t>
            </w:r>
          </w:p>
          <w:p>
            <w:pPr>
              <w:pStyle w:val="22"/>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境保</w:t>
            </w:r>
          </w:p>
          <w:p>
            <w:pPr>
              <w:pStyle w:val="22"/>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护措</w:t>
            </w:r>
          </w:p>
          <w:p>
            <w:pPr>
              <w:pStyle w:val="22"/>
              <w:adjustRightInd w:val="0"/>
              <w:snapToGrid w:val="0"/>
              <w:spacing w:before="0" w:beforeAutospacing="0" w:after="0" w:afterAutospacing="0"/>
              <w:jc w:val="center"/>
              <w:rPr>
                <w:rFonts w:hint="default" w:ascii="Times New Roman" w:hAnsi="Times New Roman" w:cs="Times New Roman"/>
                <w:bCs/>
                <w:color w:val="auto"/>
                <w:kern w:val="2"/>
                <w:sz w:val="21"/>
                <w:szCs w:val="21"/>
              </w:rPr>
            </w:pPr>
            <w:r>
              <w:rPr>
                <w:rFonts w:hint="default" w:ascii="Times New Roman" w:hAnsi="Times New Roman" w:cs="Times New Roman"/>
                <w:color w:val="auto"/>
                <w:kern w:val="2"/>
                <w:sz w:val="21"/>
                <w:szCs w:val="21"/>
              </w:rPr>
              <w:t>施</w:t>
            </w:r>
          </w:p>
        </w:tc>
        <w:tc>
          <w:tcPr>
            <w:tcW w:w="8721" w:type="dxa"/>
            <w:noWrap w:val="0"/>
            <w:vAlign w:val="center"/>
          </w:tcPr>
          <w:p>
            <w:pPr>
              <w:adjustRightInd w:val="0"/>
              <w:snapToGrid w:val="0"/>
              <w:spacing w:line="360" w:lineRule="auto"/>
              <w:ind w:firstLine="480" w:firstLineChars="200"/>
              <w:rPr>
                <w:bCs/>
                <w:color w:val="auto"/>
                <w:sz w:val="24"/>
                <w:szCs w:val="24"/>
              </w:rPr>
            </w:pPr>
            <w:r>
              <w:rPr>
                <w:bCs/>
                <w:color w:val="auto"/>
                <w:sz w:val="24"/>
                <w:szCs w:val="24"/>
              </w:rPr>
              <w:t>本项目的施工内容主要是现有商用房内部建筑的局部改造、设备安装。施工期主要关注设备安装期间安装施工设备噪声</w:t>
            </w:r>
            <w:r>
              <w:rPr>
                <w:rFonts w:hint="eastAsia"/>
                <w:bCs/>
                <w:color w:val="auto"/>
                <w:sz w:val="24"/>
                <w:szCs w:val="24"/>
                <w:lang w:eastAsia="zh-CN"/>
              </w:rPr>
              <w:t>、</w:t>
            </w:r>
            <w:r>
              <w:rPr>
                <w:bCs/>
                <w:color w:val="auto"/>
                <w:sz w:val="24"/>
                <w:szCs w:val="24"/>
              </w:rPr>
              <w:t>施工扬尘等；施工人员生活污水和生活垃圾以及装修材料包装物和建筑垃圾等固体废弃物。</w:t>
            </w:r>
          </w:p>
          <w:p>
            <w:pPr>
              <w:adjustRightInd w:val="0"/>
              <w:snapToGrid w:val="0"/>
              <w:spacing w:line="360" w:lineRule="auto"/>
              <w:ind w:firstLine="480" w:firstLineChars="200"/>
              <w:rPr>
                <w:bCs/>
                <w:color w:val="auto"/>
                <w:sz w:val="24"/>
                <w:szCs w:val="24"/>
              </w:rPr>
            </w:pPr>
            <w:r>
              <w:rPr>
                <w:bCs/>
                <w:color w:val="auto"/>
                <w:sz w:val="24"/>
                <w:szCs w:val="24"/>
              </w:rPr>
              <w:t>1、施工废气</w:t>
            </w:r>
          </w:p>
          <w:p>
            <w:pPr>
              <w:adjustRightInd w:val="0"/>
              <w:snapToGrid w:val="0"/>
              <w:spacing w:line="360" w:lineRule="auto"/>
              <w:ind w:firstLine="480" w:firstLineChars="200"/>
              <w:rPr>
                <w:bCs/>
                <w:color w:val="auto"/>
                <w:sz w:val="24"/>
                <w:szCs w:val="24"/>
              </w:rPr>
            </w:pPr>
            <w:r>
              <w:rPr>
                <w:bCs/>
                <w:color w:val="auto"/>
                <w:sz w:val="24"/>
                <w:szCs w:val="24"/>
              </w:rPr>
              <w:t>项目施工过程中在对构筑物的室内外进行装修时（如表面粉刷、油漆等）产生的废气。</w:t>
            </w:r>
            <w:r>
              <w:rPr>
                <w:rFonts w:hint="eastAsia"/>
                <w:bCs/>
                <w:color w:val="auto"/>
                <w:sz w:val="24"/>
                <w:szCs w:val="24"/>
              </w:rPr>
              <w:t>施工过程中采用环保水性漆等，减少污染物的排放。</w:t>
            </w:r>
          </w:p>
          <w:p>
            <w:pPr>
              <w:adjustRightInd w:val="0"/>
              <w:snapToGrid w:val="0"/>
              <w:spacing w:line="360" w:lineRule="auto"/>
              <w:ind w:firstLine="480" w:firstLineChars="200"/>
              <w:rPr>
                <w:bCs/>
                <w:color w:val="auto"/>
                <w:sz w:val="24"/>
                <w:szCs w:val="24"/>
              </w:rPr>
            </w:pPr>
            <w:r>
              <w:rPr>
                <w:bCs/>
                <w:color w:val="auto"/>
                <w:sz w:val="24"/>
                <w:szCs w:val="24"/>
              </w:rPr>
              <w:t>2、施工废水</w:t>
            </w:r>
          </w:p>
          <w:p>
            <w:pPr>
              <w:adjustRightInd w:val="0"/>
              <w:snapToGrid w:val="0"/>
              <w:spacing w:line="360" w:lineRule="auto"/>
              <w:ind w:firstLine="480" w:firstLineChars="200"/>
              <w:rPr>
                <w:bCs/>
                <w:color w:val="auto"/>
                <w:sz w:val="24"/>
                <w:szCs w:val="24"/>
              </w:rPr>
            </w:pPr>
            <w:r>
              <w:rPr>
                <w:bCs/>
                <w:color w:val="auto"/>
                <w:sz w:val="24"/>
                <w:szCs w:val="24"/>
              </w:rPr>
              <w:t>项目工程量小，现场不进行砂、石冲洗和搅拌浇筑混凝土等施工作业，施工期无生产废水产生。施工期短且施工人员较少，施工期生活污水</w:t>
            </w:r>
            <w:r>
              <w:rPr>
                <w:rFonts w:hint="eastAsia"/>
                <w:bCs/>
                <w:color w:val="auto"/>
                <w:sz w:val="24"/>
                <w:szCs w:val="24"/>
                <w:lang w:val="en-US" w:eastAsia="zh-CN"/>
              </w:rPr>
              <w:t>经项目主体楼污水收集管网收集后经化粪池处理，排入市政污水管网</w:t>
            </w:r>
            <w:r>
              <w:rPr>
                <w:bCs/>
                <w:color w:val="auto"/>
                <w:sz w:val="24"/>
                <w:szCs w:val="24"/>
              </w:rPr>
              <w:t>。</w:t>
            </w:r>
          </w:p>
          <w:p>
            <w:pPr>
              <w:adjustRightInd w:val="0"/>
              <w:snapToGrid w:val="0"/>
              <w:spacing w:line="360" w:lineRule="auto"/>
              <w:ind w:firstLine="480" w:firstLineChars="200"/>
              <w:rPr>
                <w:bCs/>
                <w:color w:val="auto"/>
                <w:sz w:val="24"/>
                <w:szCs w:val="24"/>
              </w:rPr>
            </w:pPr>
            <w:r>
              <w:rPr>
                <w:bCs/>
                <w:color w:val="auto"/>
                <w:sz w:val="24"/>
                <w:szCs w:val="24"/>
              </w:rPr>
              <w:t>3、施工期噪声</w:t>
            </w:r>
          </w:p>
          <w:p>
            <w:pPr>
              <w:adjustRightInd w:val="0"/>
              <w:snapToGrid w:val="0"/>
              <w:spacing w:line="360" w:lineRule="auto"/>
              <w:ind w:firstLine="480" w:firstLineChars="200"/>
              <w:rPr>
                <w:bCs/>
                <w:color w:val="auto"/>
                <w:sz w:val="24"/>
                <w:szCs w:val="24"/>
              </w:rPr>
            </w:pPr>
            <w:r>
              <w:rPr>
                <w:bCs/>
                <w:color w:val="auto"/>
                <w:sz w:val="24"/>
                <w:szCs w:val="24"/>
              </w:rPr>
              <w:t>本项目施工过程仅为装修阶段。施工期噪声主要是施工机械设备噪声装修安装阶段声源数量少，主要噪声源如电钻、电锯等主要在房间内部使用，属于间断性噪声，通过隔音、减震措施，并经过厂界距离衰减，对周围环境影响不大。</w:t>
            </w:r>
          </w:p>
          <w:p>
            <w:pPr>
              <w:adjustRightInd w:val="0"/>
              <w:snapToGrid w:val="0"/>
              <w:spacing w:line="360" w:lineRule="auto"/>
              <w:ind w:firstLine="480" w:firstLineChars="200"/>
              <w:rPr>
                <w:bCs/>
                <w:color w:val="auto"/>
                <w:sz w:val="24"/>
                <w:szCs w:val="24"/>
              </w:rPr>
            </w:pPr>
            <w:r>
              <w:rPr>
                <w:bCs/>
                <w:color w:val="auto"/>
                <w:sz w:val="24"/>
                <w:szCs w:val="24"/>
              </w:rPr>
              <w:t>4、施工期固体废物</w:t>
            </w:r>
          </w:p>
          <w:p>
            <w:pPr>
              <w:adjustRightInd w:val="0"/>
              <w:snapToGrid w:val="0"/>
              <w:spacing w:line="360" w:lineRule="auto"/>
              <w:ind w:firstLine="480" w:firstLineChars="200"/>
              <w:rPr>
                <w:bCs/>
                <w:color w:val="auto"/>
                <w:sz w:val="24"/>
                <w:szCs w:val="24"/>
              </w:rPr>
            </w:pPr>
            <w:r>
              <w:rPr>
                <w:bCs/>
                <w:color w:val="auto"/>
                <w:sz w:val="24"/>
                <w:szCs w:val="24"/>
              </w:rPr>
              <w:t>施工期固体废弃物主要包括施工人员的生活垃圾、装修产生建筑垃圾等。少量的建筑垃圾统一运往建筑垃圾填埋场。施工期生活垃圾来源于施工人员生活过程中产生的少量废弃物，生活垃圾均交市政环卫部门统一收运处置。</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eastAsia="宋体"/>
                <w:bCs/>
                <w:color w:val="auto"/>
                <w:sz w:val="24"/>
                <w:szCs w:val="24"/>
                <w:lang w:eastAsia="zh-CN"/>
              </w:rPr>
            </w:pPr>
            <w:r>
              <w:rPr>
                <w:bCs/>
                <w:color w:val="auto"/>
                <w:sz w:val="24"/>
                <w:szCs w:val="24"/>
              </w:rPr>
              <w:t>本项目施工期工程量较小，施工期较短，随着施工的结束，对周围环境影响也会随之消失</w:t>
            </w:r>
            <w:r>
              <w:rPr>
                <w:rFonts w:hint="eastAsia"/>
                <w:bCs/>
                <w:color w:val="auto"/>
                <w:sz w:val="24"/>
                <w:szCs w:val="24"/>
                <w:lang w:eastAsia="zh-CN"/>
              </w:rPr>
              <w:t>。</w:t>
            </w: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bCs/>
                <w:color w:val="auto"/>
                <w:sz w:val="24"/>
                <w:szCs w:val="24"/>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cs="Times New Roman"/>
                <w:color w:val="auto"/>
                <w:sz w:val="24"/>
                <w:szCs w:val="24"/>
                <w:lang w:val="en-US" w:eastAsia="zh-CN"/>
              </w:rPr>
            </w:pPr>
          </w:p>
          <w:p>
            <w:pPr>
              <w:pStyle w:val="10"/>
              <w:keepNext w:val="0"/>
              <w:keepLines w:val="0"/>
              <w:pageBreakBefore w:val="0"/>
              <w:widowControl/>
              <w:kinsoku/>
              <w:wordWrap/>
              <w:overflowPunct/>
              <w:topLinePunct w:val="0"/>
              <w:autoSpaceDE/>
              <w:autoSpaceDN/>
              <w:bidi w:val="0"/>
              <w:adjustRightInd w:val="0"/>
              <w:snapToGrid w:val="0"/>
              <w:spacing w:before="0" w:after="0" w:line="360" w:lineRule="auto"/>
              <w:ind w:right="0"/>
              <w:textAlignment w:val="auto"/>
              <w:rPr>
                <w:rFonts w:hint="default" w:ascii="Times New Roman" w:hAnsi="Times New Roman" w:eastAsia="宋体" w:cs="Times New Roman"/>
                <w:bCs/>
                <w:color w:val="auto"/>
                <w:spacing w:val="-10"/>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39" w:hRule="atLeast"/>
          <w:jc w:val="center"/>
        </w:trPr>
        <w:tc>
          <w:tcPr>
            <w:tcW w:w="260" w:type="dxa"/>
            <w:noWrap w:val="0"/>
            <w:tcMar>
              <w:left w:w="28" w:type="dxa"/>
              <w:right w:w="28" w:type="dxa"/>
            </w:tcMar>
            <w:vAlign w:val="center"/>
          </w:tcPr>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运营</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期环</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境影</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响和</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保护</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措施</w:t>
            </w:r>
          </w:p>
        </w:tc>
        <w:tc>
          <w:tcPr>
            <w:tcW w:w="8721" w:type="dxa"/>
            <w:noWrap w:val="0"/>
            <w:vAlign w:val="top"/>
          </w:tcPr>
          <w:p>
            <w:pPr>
              <w:spacing w:line="360" w:lineRule="auto"/>
              <w:rPr>
                <w:b/>
                <w:bCs/>
                <w:color w:val="auto"/>
                <w:sz w:val="24"/>
                <w:szCs w:val="24"/>
              </w:rPr>
            </w:pPr>
            <w:r>
              <w:rPr>
                <w:b/>
                <w:bCs/>
                <w:color w:val="auto"/>
                <w:sz w:val="24"/>
                <w:szCs w:val="24"/>
              </w:rPr>
              <w:t>1、废气</w:t>
            </w:r>
          </w:p>
          <w:p>
            <w:pPr>
              <w:spacing w:line="360" w:lineRule="auto"/>
              <w:ind w:firstLine="480" w:firstLineChars="200"/>
              <w:textAlignment w:val="baseline"/>
              <w:rPr>
                <w:color w:val="auto"/>
                <w:sz w:val="24"/>
                <w:szCs w:val="24"/>
              </w:rPr>
            </w:pPr>
            <w:r>
              <w:rPr>
                <w:color w:val="auto"/>
                <w:sz w:val="24"/>
                <w:szCs w:val="24"/>
              </w:rPr>
              <w:t>（1）产排污环节、污染物种类、污染物产生量和浓度</w:t>
            </w:r>
          </w:p>
          <w:p>
            <w:pPr>
              <w:spacing w:line="360" w:lineRule="auto"/>
              <w:ind w:firstLine="482" w:firstLineChars="200"/>
              <w:textAlignment w:val="baseline"/>
              <w:rPr>
                <w:rFonts w:hint="default" w:eastAsia="宋体"/>
                <w:color w:val="auto"/>
                <w:sz w:val="24"/>
                <w:szCs w:val="24"/>
                <w:lang w:val="en-US" w:eastAsia="zh-CN"/>
              </w:rPr>
            </w:pPr>
            <w:r>
              <w:rPr>
                <w:b/>
                <w:bCs/>
                <w:color w:val="auto"/>
                <w:sz w:val="24"/>
                <w:szCs w:val="24"/>
              </w:rPr>
              <w:t>产排污环节：</w:t>
            </w:r>
            <w:r>
              <w:rPr>
                <w:color w:val="auto"/>
                <w:sz w:val="24"/>
                <w:szCs w:val="24"/>
              </w:rPr>
              <w:t>本项目</w:t>
            </w:r>
            <w:r>
              <w:rPr>
                <w:rFonts w:hint="eastAsia"/>
                <w:color w:val="auto"/>
                <w:sz w:val="24"/>
                <w:szCs w:val="24"/>
              </w:rPr>
              <w:t>运营期大气污染物主要为污水处理装置产生的恶臭气体（主要成分为NH</w:t>
            </w:r>
            <w:r>
              <w:rPr>
                <w:rFonts w:hint="eastAsia"/>
                <w:color w:val="auto"/>
                <w:sz w:val="24"/>
                <w:szCs w:val="24"/>
                <w:vertAlign w:val="subscript"/>
              </w:rPr>
              <w:t>3</w:t>
            </w:r>
            <w:r>
              <w:rPr>
                <w:rFonts w:hint="eastAsia"/>
                <w:color w:val="auto"/>
                <w:sz w:val="24"/>
                <w:szCs w:val="24"/>
              </w:rPr>
              <w:t>、H</w:t>
            </w:r>
            <w:r>
              <w:rPr>
                <w:rFonts w:hint="eastAsia"/>
                <w:color w:val="auto"/>
                <w:sz w:val="24"/>
                <w:szCs w:val="24"/>
                <w:vertAlign w:val="subscript"/>
              </w:rPr>
              <w:t>2</w:t>
            </w:r>
            <w:r>
              <w:rPr>
                <w:rFonts w:hint="eastAsia"/>
                <w:color w:val="auto"/>
                <w:sz w:val="24"/>
                <w:szCs w:val="24"/>
              </w:rPr>
              <w:t>S、臭气浓度）</w:t>
            </w:r>
            <w:r>
              <w:rPr>
                <w:rFonts w:hint="eastAsia"/>
                <w:color w:val="auto"/>
                <w:sz w:val="24"/>
                <w:szCs w:val="24"/>
                <w:lang w:eastAsia="zh-CN"/>
              </w:rPr>
              <w:t>、</w:t>
            </w:r>
            <w:r>
              <w:rPr>
                <w:rFonts w:hint="eastAsia"/>
                <w:color w:val="auto"/>
                <w:sz w:val="24"/>
                <w:szCs w:val="24"/>
                <w:lang w:val="en-US" w:eastAsia="zh-CN"/>
              </w:rPr>
              <w:t>食堂油烟</w:t>
            </w:r>
          </w:p>
          <w:p>
            <w:pPr>
              <w:spacing w:line="360" w:lineRule="auto"/>
              <w:ind w:firstLine="482" w:firstLineChars="200"/>
              <w:textAlignment w:val="baseline"/>
              <w:rPr>
                <w:rFonts w:hint="default" w:eastAsia="宋体"/>
                <w:b/>
                <w:bCs/>
                <w:color w:val="auto"/>
                <w:sz w:val="24"/>
                <w:szCs w:val="24"/>
                <w:lang w:val="en-US" w:eastAsia="zh-CN"/>
              </w:rPr>
            </w:pPr>
            <w:r>
              <w:rPr>
                <w:b/>
                <w:bCs/>
                <w:color w:val="auto"/>
                <w:sz w:val="24"/>
                <w:szCs w:val="24"/>
              </w:rPr>
              <w:t>污染物种类：</w:t>
            </w:r>
            <w:r>
              <w:rPr>
                <w:rFonts w:hint="eastAsia"/>
                <w:color w:val="auto"/>
                <w:sz w:val="24"/>
                <w:szCs w:val="24"/>
              </w:rPr>
              <w:t>污水处理装置恶臭</w:t>
            </w:r>
            <w:r>
              <w:rPr>
                <w:rFonts w:hint="eastAsia"/>
                <w:color w:val="auto"/>
                <w:sz w:val="24"/>
                <w:szCs w:val="24"/>
                <w:lang w:eastAsia="zh-CN"/>
              </w:rPr>
              <w:t>、</w:t>
            </w:r>
            <w:r>
              <w:rPr>
                <w:rFonts w:hint="eastAsia"/>
                <w:color w:val="auto"/>
                <w:sz w:val="24"/>
                <w:szCs w:val="24"/>
                <w:lang w:val="en-US" w:eastAsia="zh-CN"/>
              </w:rPr>
              <w:t>油烟</w:t>
            </w:r>
          </w:p>
          <w:p>
            <w:pPr>
              <w:spacing w:line="360" w:lineRule="auto"/>
              <w:ind w:firstLine="480" w:firstLineChars="200"/>
              <w:textAlignment w:val="baseline"/>
              <w:rPr>
                <w:rFonts w:hint="default"/>
                <w:color w:val="auto"/>
                <w:sz w:val="24"/>
                <w:szCs w:val="24"/>
                <w:lang w:val="en-US" w:eastAsia="zh-CN"/>
              </w:rPr>
            </w:pPr>
            <w:r>
              <w:rPr>
                <w:rFonts w:hint="eastAsia" w:ascii="宋体" w:hAnsi="宋体" w:eastAsia="宋体" w:cs="宋体"/>
                <w:color w:val="auto"/>
                <w:sz w:val="24"/>
                <w:szCs w:val="24"/>
                <w:lang w:val="en-US" w:eastAsia="zh-CN"/>
              </w:rPr>
              <w:t>①</w:t>
            </w:r>
            <w:r>
              <w:rPr>
                <w:rFonts w:hint="eastAsia"/>
                <w:color w:val="auto"/>
                <w:sz w:val="24"/>
                <w:szCs w:val="24"/>
                <w:lang w:val="en-US" w:eastAsia="zh-CN"/>
              </w:rPr>
              <w:t>污水处理装置恶臭</w:t>
            </w:r>
          </w:p>
          <w:p>
            <w:pPr>
              <w:spacing w:line="360" w:lineRule="auto"/>
              <w:ind w:firstLine="482" w:firstLineChars="200"/>
              <w:textAlignment w:val="baseline"/>
              <w:rPr>
                <w:rFonts w:hint="eastAsia"/>
                <w:color w:val="auto"/>
                <w:sz w:val="24"/>
                <w:szCs w:val="24"/>
              </w:rPr>
            </w:pPr>
            <w:r>
              <w:rPr>
                <w:b/>
                <w:bCs/>
                <w:color w:val="auto"/>
                <w:sz w:val="24"/>
                <w:szCs w:val="24"/>
              </w:rPr>
              <w:t>污染物产生量和浓度：</w:t>
            </w:r>
          </w:p>
          <w:p>
            <w:pPr>
              <w:spacing w:line="360" w:lineRule="auto"/>
              <w:ind w:firstLine="480" w:firstLineChars="200"/>
              <w:textAlignment w:val="baseline"/>
              <w:rPr>
                <w:rFonts w:hint="eastAsia"/>
                <w:color w:val="auto"/>
                <w:sz w:val="24"/>
                <w:szCs w:val="24"/>
              </w:rPr>
            </w:pPr>
            <w:r>
              <w:rPr>
                <w:rFonts w:hint="eastAsia"/>
                <w:color w:val="auto"/>
                <w:sz w:val="24"/>
                <w:szCs w:val="24"/>
              </w:rPr>
              <w:t>本项目拟在医院一层</w:t>
            </w:r>
            <w:r>
              <w:rPr>
                <w:rFonts w:hint="eastAsia"/>
                <w:color w:val="auto"/>
                <w:sz w:val="24"/>
                <w:szCs w:val="24"/>
                <w:lang w:val="en-US" w:eastAsia="zh-CN"/>
              </w:rPr>
              <w:t>西南侧</w:t>
            </w:r>
            <w:r>
              <w:rPr>
                <w:rFonts w:hint="eastAsia"/>
                <w:color w:val="auto"/>
                <w:sz w:val="24"/>
                <w:szCs w:val="24"/>
              </w:rPr>
              <w:t>安装污水处理站</w:t>
            </w:r>
            <w:r>
              <w:rPr>
                <w:color w:val="auto"/>
                <w:sz w:val="24"/>
                <w:szCs w:val="24"/>
              </w:rPr>
              <w:t>（</w:t>
            </w:r>
            <w:r>
              <w:rPr>
                <w:rFonts w:hint="eastAsia"/>
                <w:color w:val="auto"/>
                <w:sz w:val="24"/>
                <w:szCs w:val="24"/>
                <w:lang w:eastAsia="zh-CN"/>
              </w:rPr>
              <w:t>预处理+ A/O工艺+加次氯酸钠消毒</w:t>
            </w:r>
            <w:r>
              <w:rPr>
                <w:color w:val="auto"/>
                <w:sz w:val="24"/>
                <w:szCs w:val="24"/>
              </w:rPr>
              <w:t>）</w:t>
            </w:r>
            <w:r>
              <w:rPr>
                <w:rFonts w:hint="eastAsia"/>
                <w:color w:val="auto"/>
                <w:sz w:val="24"/>
                <w:szCs w:val="24"/>
              </w:rPr>
              <w:t>。</w:t>
            </w:r>
            <w:r>
              <w:rPr>
                <w:color w:val="auto"/>
                <w:sz w:val="24"/>
                <w:szCs w:val="24"/>
              </w:rPr>
              <w:t>污水处理设施的恶臭来源</w:t>
            </w:r>
            <w:r>
              <w:rPr>
                <w:rFonts w:hint="eastAsia"/>
                <w:color w:val="auto"/>
                <w:sz w:val="24"/>
                <w:szCs w:val="24"/>
              </w:rPr>
              <w:t>于</w:t>
            </w:r>
            <w:r>
              <w:rPr>
                <w:color w:val="auto"/>
                <w:sz w:val="24"/>
                <w:szCs w:val="24"/>
              </w:rPr>
              <w:t>污水中有机物的分解、发酵过程中散发的化学物质，其主要成分有H</w:t>
            </w:r>
            <w:r>
              <w:rPr>
                <w:color w:val="auto"/>
                <w:sz w:val="24"/>
                <w:szCs w:val="24"/>
                <w:vertAlign w:val="subscript"/>
              </w:rPr>
              <w:t>2</w:t>
            </w:r>
            <w:r>
              <w:rPr>
                <w:color w:val="auto"/>
                <w:sz w:val="24"/>
                <w:szCs w:val="24"/>
              </w:rPr>
              <w:t>S</w:t>
            </w:r>
            <w:r>
              <w:rPr>
                <w:rFonts w:hint="eastAsia"/>
                <w:color w:val="auto"/>
                <w:sz w:val="24"/>
                <w:szCs w:val="24"/>
              </w:rPr>
              <w:t>、</w:t>
            </w:r>
            <w:r>
              <w:rPr>
                <w:color w:val="auto"/>
                <w:sz w:val="24"/>
                <w:szCs w:val="24"/>
              </w:rPr>
              <w:t>NH</w:t>
            </w:r>
            <w:r>
              <w:rPr>
                <w:color w:val="auto"/>
                <w:sz w:val="24"/>
                <w:szCs w:val="24"/>
                <w:vertAlign w:val="subscript"/>
              </w:rPr>
              <w:t>3</w:t>
            </w:r>
            <w:r>
              <w:rPr>
                <w:rFonts w:hint="eastAsia"/>
                <w:color w:val="auto"/>
                <w:sz w:val="24"/>
                <w:szCs w:val="24"/>
              </w:rPr>
              <w:t>和臭气浓度</w:t>
            </w:r>
            <w:r>
              <w:rPr>
                <w:rFonts w:hint="eastAsia"/>
                <w:color w:val="auto"/>
                <w:sz w:val="24"/>
                <w:szCs w:val="24"/>
                <w:lang w:val="en-US" w:eastAsia="zh-CN"/>
              </w:rPr>
              <w:t>等</w:t>
            </w:r>
            <w:r>
              <w:rPr>
                <w:rFonts w:hint="eastAsia"/>
                <w:color w:val="auto"/>
                <w:sz w:val="24"/>
                <w:szCs w:val="24"/>
              </w:rPr>
              <w:t>。</w:t>
            </w:r>
          </w:p>
          <w:p>
            <w:pPr>
              <w:spacing w:line="360" w:lineRule="auto"/>
              <w:ind w:firstLine="480" w:firstLineChars="200"/>
              <w:textAlignment w:val="baseline"/>
              <w:rPr>
                <w:rFonts w:hint="default" w:eastAsia="宋体"/>
                <w:color w:val="FF0000"/>
                <w:sz w:val="24"/>
                <w:szCs w:val="24"/>
                <w:vertAlign w:val="baseline"/>
                <w:lang w:val="en-US" w:eastAsia="zh-CN"/>
              </w:rPr>
            </w:pPr>
            <w:r>
              <w:rPr>
                <w:rFonts w:hint="eastAsia"/>
                <w:color w:val="FF0000"/>
                <w:sz w:val="24"/>
                <w:szCs w:val="24"/>
                <w:lang w:val="en-US" w:eastAsia="zh-CN"/>
              </w:rPr>
              <w:t>参照美国EPA公式，处理1g的BOD可产生0.0031g的NH</w:t>
            </w:r>
            <w:r>
              <w:rPr>
                <w:rFonts w:hint="eastAsia"/>
                <w:color w:val="FF0000"/>
                <w:sz w:val="24"/>
                <w:szCs w:val="24"/>
                <w:vertAlign w:val="subscript"/>
                <w:lang w:val="en-US" w:eastAsia="zh-CN"/>
              </w:rPr>
              <w:t>3</w:t>
            </w:r>
            <w:r>
              <w:rPr>
                <w:rFonts w:hint="eastAsia"/>
                <w:color w:val="FF0000"/>
                <w:sz w:val="24"/>
                <w:szCs w:val="24"/>
                <w:vertAlign w:val="baseline"/>
                <w:lang w:val="en-US" w:eastAsia="zh-CN"/>
              </w:rPr>
              <w:t>和0.00012g的H</w:t>
            </w:r>
            <w:r>
              <w:rPr>
                <w:rFonts w:hint="eastAsia"/>
                <w:color w:val="FF0000"/>
                <w:sz w:val="24"/>
                <w:szCs w:val="24"/>
                <w:vertAlign w:val="subscript"/>
                <w:lang w:val="en-US" w:eastAsia="zh-CN"/>
              </w:rPr>
              <w:t>2</w:t>
            </w:r>
            <w:r>
              <w:rPr>
                <w:rFonts w:hint="eastAsia"/>
                <w:color w:val="FF0000"/>
                <w:sz w:val="24"/>
                <w:szCs w:val="24"/>
                <w:vertAlign w:val="baseline"/>
                <w:lang w:val="en-US" w:eastAsia="zh-CN"/>
              </w:rPr>
              <w:t>S。根据下文表4-4可知，项目BOD</w:t>
            </w:r>
            <w:r>
              <w:rPr>
                <w:rFonts w:hint="eastAsia"/>
                <w:color w:val="FF0000"/>
                <w:sz w:val="24"/>
                <w:szCs w:val="24"/>
                <w:vertAlign w:val="subscript"/>
                <w:lang w:val="en-US" w:eastAsia="zh-CN"/>
              </w:rPr>
              <w:t>5</w:t>
            </w:r>
            <w:r>
              <w:rPr>
                <w:rFonts w:hint="eastAsia"/>
                <w:color w:val="FF0000"/>
                <w:sz w:val="24"/>
                <w:szCs w:val="24"/>
                <w:vertAlign w:val="baseline"/>
                <w:lang w:val="en-US" w:eastAsia="zh-CN"/>
              </w:rPr>
              <w:t>去除效率为87%，处理量为2.6t/a，由此，本项目氨和硫化氢的产生量为</w:t>
            </w:r>
            <w:r>
              <w:rPr>
                <w:rFonts w:hint="eastAsia"/>
                <w:color w:val="FF0000"/>
                <w:sz w:val="24"/>
                <w:szCs w:val="24"/>
                <w:lang w:val="en-US" w:eastAsia="zh-CN"/>
              </w:rPr>
              <w:t>NH</w:t>
            </w:r>
            <w:r>
              <w:rPr>
                <w:rFonts w:hint="eastAsia"/>
                <w:color w:val="FF0000"/>
                <w:sz w:val="24"/>
                <w:szCs w:val="24"/>
                <w:vertAlign w:val="subscript"/>
                <w:lang w:val="en-US" w:eastAsia="zh-CN"/>
              </w:rPr>
              <w:t>3</w:t>
            </w:r>
            <w:r>
              <w:rPr>
                <w:rFonts w:hint="eastAsia"/>
                <w:color w:val="FF0000"/>
                <w:sz w:val="24"/>
                <w:szCs w:val="24"/>
                <w:vertAlign w:val="baseline"/>
                <w:lang w:val="en-US" w:eastAsia="zh-CN"/>
              </w:rPr>
              <w:t>：8.06kg/a，H</w:t>
            </w:r>
            <w:r>
              <w:rPr>
                <w:rFonts w:hint="eastAsia"/>
                <w:color w:val="FF0000"/>
                <w:sz w:val="24"/>
                <w:szCs w:val="24"/>
                <w:vertAlign w:val="subscript"/>
                <w:lang w:val="en-US" w:eastAsia="zh-CN"/>
              </w:rPr>
              <w:t>2</w:t>
            </w:r>
            <w:r>
              <w:rPr>
                <w:rFonts w:hint="eastAsia"/>
                <w:color w:val="FF0000"/>
                <w:sz w:val="24"/>
                <w:szCs w:val="24"/>
                <w:vertAlign w:val="baseline"/>
                <w:lang w:val="en-US" w:eastAsia="zh-CN"/>
              </w:rPr>
              <w:t>S：0.312kg/a。</w:t>
            </w:r>
          </w:p>
          <w:p>
            <w:pPr>
              <w:spacing w:line="360" w:lineRule="auto"/>
              <w:ind w:firstLine="480" w:firstLineChars="200"/>
              <w:textAlignment w:val="baseline"/>
              <w:rPr>
                <w:rFonts w:hint="default" w:eastAsia="宋体"/>
                <w:color w:val="FF0000"/>
                <w:sz w:val="24"/>
                <w:szCs w:val="24"/>
                <w:lang w:val="en-US" w:eastAsia="zh-CN"/>
              </w:rPr>
            </w:pPr>
            <w:r>
              <w:rPr>
                <w:rFonts w:hint="eastAsia"/>
                <w:color w:val="FF0000"/>
                <w:sz w:val="24"/>
                <w:szCs w:val="24"/>
                <w:lang w:val="en-US" w:eastAsia="zh-CN"/>
              </w:rPr>
              <w:t>本项目污水处理站废气污染物产排情况见表4-1。</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color w:val="FF0000"/>
                <w:sz w:val="21"/>
                <w:szCs w:val="21"/>
                <w:lang w:val="en-US" w:eastAsia="zh-CN"/>
              </w:rPr>
            </w:pPr>
            <w:r>
              <w:rPr>
                <w:rFonts w:hint="eastAsia" w:ascii="Times New Roman" w:hAnsi="Times New Roman" w:eastAsia="宋体" w:cs="Times New Roman"/>
                <w:b/>
                <w:color w:val="FF0000"/>
                <w:sz w:val="21"/>
                <w:szCs w:val="21"/>
                <w:lang w:val="en-US" w:eastAsia="zh-CN"/>
              </w:rPr>
              <w:t>表4-1  污水处理站废气产排情况表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654"/>
              <w:gridCol w:w="834"/>
              <w:gridCol w:w="1126"/>
              <w:gridCol w:w="1002"/>
              <w:gridCol w:w="1277"/>
              <w:gridCol w:w="834"/>
              <w:gridCol w:w="1126"/>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restart"/>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产生环节</w:t>
                  </w:r>
                </w:p>
              </w:tc>
              <w:tc>
                <w:tcPr>
                  <w:tcW w:w="0" w:type="auto"/>
                  <w:vMerge w:val="restart"/>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污染物</w:t>
                  </w:r>
                </w:p>
              </w:tc>
              <w:tc>
                <w:tcPr>
                  <w:tcW w:w="0" w:type="auto"/>
                  <w:gridSpan w:val="3"/>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产生情况</w:t>
                  </w:r>
                </w:p>
              </w:tc>
              <w:tc>
                <w:tcPr>
                  <w:tcW w:w="0" w:type="auto"/>
                  <w:vMerge w:val="restart"/>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处理措施</w:t>
                  </w:r>
                </w:p>
              </w:tc>
              <w:tc>
                <w:tcPr>
                  <w:tcW w:w="0" w:type="auto"/>
                  <w:gridSpan w:val="3"/>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tcBorders>
                    <w:bottom w:val="single" w:color="000000" w:sz="4" w:space="0"/>
                  </w:tcBorders>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0" w:type="auto"/>
                  <w:vMerge w:val="continue"/>
                  <w:tcBorders>
                    <w:bottom w:val="single" w:color="000000" w:sz="4" w:space="0"/>
                  </w:tcBorders>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产生量kg/a</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产生速率kg/h</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产生浓度mg/m</w:t>
                  </w:r>
                  <w:r>
                    <w:rPr>
                      <w:rFonts w:hint="eastAsia" w:ascii="Times New Roman" w:hAnsi="Times New Roman" w:eastAsia="宋体" w:cs="Times New Roman"/>
                      <w:color w:val="FF0000"/>
                      <w:sz w:val="21"/>
                      <w:szCs w:val="21"/>
                      <w:vertAlign w:val="superscript"/>
                      <w:lang w:val="en-US" w:eastAsia="zh-CN"/>
                    </w:rPr>
                    <w:t>3</w:t>
                  </w:r>
                </w:p>
              </w:tc>
              <w:tc>
                <w:tcPr>
                  <w:tcW w:w="0" w:type="auto"/>
                  <w:vMerge w:val="continue"/>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排放量kg/a</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排放速率kg/h</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排放浓度mg/m</w:t>
                  </w:r>
                  <w:r>
                    <w:rPr>
                      <w:rFonts w:hint="eastAsia" w:ascii="Times New Roman" w:hAnsi="Times New Roman" w:eastAsia="宋体" w:cs="Times New Roman"/>
                      <w:color w:val="FF000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restart"/>
                  <w:tcBorders>
                    <w:top w:val="single" w:color="000000" w:sz="4" w:space="0"/>
                  </w:tcBorders>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污水处理站</w:t>
                  </w:r>
                </w:p>
              </w:tc>
              <w:tc>
                <w:tcPr>
                  <w:tcW w:w="0" w:type="auto"/>
                  <w:tcBorders>
                    <w:top w:val="single" w:color="000000" w:sz="4" w:space="0"/>
                  </w:tcBorders>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NH</w:t>
                  </w:r>
                  <w:r>
                    <w:rPr>
                      <w:rFonts w:hint="eastAsia" w:ascii="Times New Roman" w:hAnsi="Times New Roman" w:eastAsia="宋体" w:cs="Times New Roman"/>
                      <w:color w:val="FF0000"/>
                      <w:sz w:val="21"/>
                      <w:szCs w:val="21"/>
                      <w:vertAlign w:val="subscript"/>
                      <w:lang w:val="en-US" w:eastAsia="zh-CN"/>
                    </w:rPr>
                    <w:t>3</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8.06</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0.00092</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w:t>
                  </w:r>
                </w:p>
              </w:tc>
              <w:tc>
                <w:tcPr>
                  <w:tcW w:w="0" w:type="auto"/>
                  <w:vMerge w:val="restart"/>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密闭加盖，周边喷洒生物除臭剂</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kern w:val="2"/>
                      <w:sz w:val="21"/>
                      <w:szCs w:val="21"/>
                      <w:vertAlign w:val="baseline"/>
                      <w:lang w:val="en-US" w:eastAsia="zh-CN" w:bidi="ar-SA"/>
                    </w:rPr>
                  </w:pPr>
                  <w:r>
                    <w:rPr>
                      <w:rFonts w:hint="eastAsia" w:cs="Times New Roman"/>
                      <w:color w:val="FF0000"/>
                      <w:sz w:val="21"/>
                      <w:szCs w:val="21"/>
                      <w:vertAlign w:val="baseline"/>
                      <w:lang w:val="en-US" w:eastAsia="zh-CN"/>
                    </w:rPr>
                    <w:t>8.06</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kern w:val="2"/>
                      <w:sz w:val="21"/>
                      <w:szCs w:val="21"/>
                      <w:vertAlign w:val="baseline"/>
                      <w:lang w:val="en-US" w:eastAsia="zh-CN" w:bidi="ar-SA"/>
                    </w:rPr>
                  </w:pPr>
                  <w:r>
                    <w:rPr>
                      <w:rFonts w:hint="eastAsia" w:cs="Times New Roman"/>
                      <w:color w:val="FF0000"/>
                      <w:sz w:val="21"/>
                      <w:szCs w:val="21"/>
                      <w:vertAlign w:val="baseline"/>
                      <w:lang w:val="en-US" w:eastAsia="zh-CN"/>
                    </w:rPr>
                    <w:t>0.00092</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H</w:t>
                  </w:r>
                  <w:r>
                    <w:rPr>
                      <w:rFonts w:hint="eastAsia" w:ascii="Times New Roman" w:hAnsi="Times New Roman" w:eastAsia="宋体" w:cs="Times New Roman"/>
                      <w:color w:val="FF0000"/>
                      <w:sz w:val="21"/>
                      <w:szCs w:val="21"/>
                      <w:vertAlign w:val="subscript"/>
                      <w:lang w:val="en-US" w:eastAsia="zh-CN"/>
                    </w:rPr>
                    <w:t>2</w:t>
                  </w:r>
                  <w:r>
                    <w:rPr>
                      <w:rFonts w:hint="eastAsia" w:ascii="Times New Roman" w:hAnsi="Times New Roman" w:eastAsia="宋体" w:cs="Times New Roman"/>
                      <w:color w:val="FF0000"/>
                      <w:sz w:val="21"/>
                      <w:szCs w:val="21"/>
                      <w:vertAlign w:val="baseline"/>
                      <w:lang w:val="en-US" w:eastAsia="zh-CN"/>
                    </w:rPr>
                    <w:t>S</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0.312</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0.000036</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w:t>
                  </w:r>
                </w:p>
              </w:tc>
              <w:tc>
                <w:tcPr>
                  <w:tcW w:w="0" w:type="auto"/>
                  <w:vMerge w:val="continue"/>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kern w:val="2"/>
                      <w:sz w:val="21"/>
                      <w:szCs w:val="21"/>
                      <w:vertAlign w:val="baseline"/>
                      <w:lang w:val="en-US" w:eastAsia="zh-CN" w:bidi="ar-SA"/>
                    </w:rPr>
                  </w:pPr>
                  <w:r>
                    <w:rPr>
                      <w:rFonts w:hint="eastAsia" w:cs="Times New Roman"/>
                      <w:color w:val="FF0000"/>
                      <w:sz w:val="21"/>
                      <w:szCs w:val="21"/>
                      <w:vertAlign w:val="baseline"/>
                      <w:lang w:val="en-US" w:eastAsia="zh-CN"/>
                    </w:rPr>
                    <w:t>0.312</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kern w:val="2"/>
                      <w:sz w:val="21"/>
                      <w:szCs w:val="21"/>
                      <w:vertAlign w:val="baseline"/>
                      <w:lang w:val="en-US" w:eastAsia="zh-CN" w:bidi="ar-SA"/>
                    </w:rPr>
                  </w:pPr>
                  <w:r>
                    <w:rPr>
                      <w:rFonts w:hint="eastAsia" w:cs="Times New Roman"/>
                      <w:color w:val="FF0000"/>
                      <w:sz w:val="21"/>
                      <w:szCs w:val="21"/>
                      <w:vertAlign w:val="baseline"/>
                      <w:lang w:val="en-US" w:eastAsia="zh-CN"/>
                    </w:rPr>
                    <w:t>0.000036</w:t>
                  </w:r>
                </w:p>
              </w:tc>
              <w:tc>
                <w:tcPr>
                  <w:tcW w:w="0" w:type="auto"/>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w:t>
                  </w:r>
                </w:p>
              </w:tc>
            </w:tr>
          </w:tbl>
          <w:p>
            <w:pPr>
              <w:spacing w:line="360" w:lineRule="auto"/>
              <w:ind w:firstLine="480" w:firstLineChars="200"/>
              <w:textAlignment w:val="baseline"/>
              <w:rPr>
                <w:color w:val="auto"/>
                <w:sz w:val="24"/>
                <w:szCs w:val="24"/>
              </w:rPr>
            </w:pPr>
            <w:r>
              <w:rPr>
                <w:color w:val="FF0000"/>
                <w:sz w:val="24"/>
                <w:szCs w:val="24"/>
              </w:rPr>
              <w:t>本项目污水处理设施处理规模为</w:t>
            </w:r>
            <w:r>
              <w:rPr>
                <w:rFonts w:hint="eastAsia"/>
                <w:color w:val="FF0000"/>
                <w:sz w:val="24"/>
                <w:szCs w:val="24"/>
                <w:lang w:val="en-US" w:eastAsia="zh-CN"/>
              </w:rPr>
              <w:t>50</w:t>
            </w:r>
            <w:r>
              <w:rPr>
                <w:rFonts w:hint="eastAsia"/>
                <w:color w:val="FF0000"/>
                <w:sz w:val="24"/>
                <w:szCs w:val="24"/>
              </w:rPr>
              <w:t>m</w:t>
            </w:r>
            <w:r>
              <w:rPr>
                <w:rFonts w:hint="eastAsia"/>
                <w:color w:val="FF0000"/>
                <w:sz w:val="24"/>
                <w:szCs w:val="24"/>
                <w:vertAlign w:val="superscript"/>
              </w:rPr>
              <w:t>3</w:t>
            </w:r>
            <w:r>
              <w:rPr>
                <w:color w:val="FF0000"/>
                <w:sz w:val="24"/>
                <w:szCs w:val="24"/>
              </w:rPr>
              <w:t>/d，类比</w:t>
            </w:r>
            <w:r>
              <w:rPr>
                <w:rFonts w:hint="eastAsia"/>
                <w:color w:val="FF0000"/>
                <w:sz w:val="24"/>
                <w:szCs w:val="24"/>
              </w:rPr>
              <w:t>西安雁塔女子医院改扩建项目竣工环境保护验收监测</w:t>
            </w:r>
            <w:r>
              <w:rPr>
                <w:rFonts w:hint="eastAsia"/>
                <w:color w:val="FF0000"/>
                <w:sz w:val="24"/>
                <w:szCs w:val="24"/>
                <w:lang w:eastAsia="zh-CN"/>
              </w:rPr>
              <w:t>（</w:t>
            </w:r>
            <w:r>
              <w:rPr>
                <w:rFonts w:hint="eastAsia"/>
                <w:color w:val="FF0000"/>
                <w:sz w:val="24"/>
                <w:szCs w:val="24"/>
                <w:lang w:val="en-US" w:eastAsia="zh-CN"/>
              </w:rPr>
              <w:t>处理能力50m</w:t>
            </w:r>
            <w:r>
              <w:rPr>
                <w:rFonts w:hint="eastAsia"/>
                <w:color w:val="FF0000"/>
                <w:sz w:val="24"/>
                <w:szCs w:val="24"/>
                <w:vertAlign w:val="superscript"/>
                <w:lang w:val="en-US" w:eastAsia="zh-CN"/>
              </w:rPr>
              <w:t>2</w:t>
            </w:r>
            <w:r>
              <w:rPr>
                <w:rFonts w:hint="eastAsia"/>
                <w:color w:val="FF0000"/>
                <w:sz w:val="24"/>
                <w:szCs w:val="24"/>
                <w:lang w:val="en-US" w:eastAsia="zh-CN"/>
              </w:rPr>
              <w:t>/d</w:t>
            </w:r>
            <w:r>
              <w:rPr>
                <w:rFonts w:hint="eastAsia"/>
                <w:color w:val="FF0000"/>
                <w:sz w:val="24"/>
                <w:szCs w:val="24"/>
                <w:lang w:eastAsia="zh-CN"/>
              </w:rPr>
              <w:t>）</w:t>
            </w:r>
            <w:r>
              <w:rPr>
                <w:rFonts w:hint="eastAsia"/>
                <w:color w:val="FF0000"/>
                <w:sz w:val="24"/>
                <w:szCs w:val="24"/>
              </w:rPr>
              <w:t>，采用</w:t>
            </w:r>
            <w:r>
              <w:rPr>
                <w:color w:val="FF0000"/>
                <w:sz w:val="24"/>
                <w:szCs w:val="24"/>
              </w:rPr>
              <w:t>同类工艺，NH</w:t>
            </w:r>
            <w:r>
              <w:rPr>
                <w:color w:val="FF0000"/>
                <w:sz w:val="24"/>
                <w:szCs w:val="24"/>
                <w:vertAlign w:val="subscript"/>
              </w:rPr>
              <w:t>3</w:t>
            </w:r>
            <w:r>
              <w:rPr>
                <w:rFonts w:hint="eastAsia"/>
                <w:color w:val="FF0000"/>
                <w:sz w:val="24"/>
                <w:szCs w:val="24"/>
              </w:rPr>
              <w:t>无组织浓度最大值为</w:t>
            </w:r>
            <w:r>
              <w:rPr>
                <w:rFonts w:hint="eastAsia"/>
                <w:color w:val="FF0000"/>
                <w:sz w:val="24"/>
                <w:szCs w:val="24"/>
                <w:lang w:val="en-US" w:eastAsia="zh-CN"/>
              </w:rPr>
              <w:t>0.15</w:t>
            </w:r>
            <w:r>
              <w:rPr>
                <w:rFonts w:hint="eastAsia"/>
                <w:bCs/>
                <w:color w:val="FF0000"/>
                <w:sz w:val="24"/>
                <w:szCs w:val="24"/>
              </w:rPr>
              <w:t>mg/</w:t>
            </w:r>
            <w:r>
              <w:rPr>
                <w:rFonts w:hint="eastAsia"/>
                <w:color w:val="FF0000"/>
                <w:sz w:val="24"/>
                <w:szCs w:val="24"/>
              </w:rPr>
              <w:t>m</w:t>
            </w:r>
            <w:r>
              <w:rPr>
                <w:rFonts w:hint="eastAsia"/>
                <w:color w:val="FF0000"/>
                <w:sz w:val="24"/>
                <w:szCs w:val="24"/>
                <w:vertAlign w:val="superscript"/>
              </w:rPr>
              <w:t>3</w:t>
            </w:r>
            <w:r>
              <w:rPr>
                <w:color w:val="FF0000"/>
                <w:sz w:val="24"/>
                <w:szCs w:val="24"/>
              </w:rPr>
              <w:t>，H</w:t>
            </w:r>
            <w:r>
              <w:rPr>
                <w:color w:val="FF0000"/>
                <w:sz w:val="24"/>
                <w:szCs w:val="24"/>
                <w:vertAlign w:val="subscript"/>
              </w:rPr>
              <w:t>2</w:t>
            </w:r>
            <w:r>
              <w:rPr>
                <w:color w:val="FF0000"/>
                <w:sz w:val="24"/>
                <w:szCs w:val="24"/>
              </w:rPr>
              <w:t>S</w:t>
            </w:r>
            <w:r>
              <w:rPr>
                <w:rFonts w:hint="eastAsia"/>
                <w:color w:val="FF0000"/>
                <w:sz w:val="24"/>
                <w:szCs w:val="24"/>
              </w:rPr>
              <w:t>无组织浓度最大值为0.00</w:t>
            </w:r>
            <w:r>
              <w:rPr>
                <w:rFonts w:hint="eastAsia"/>
                <w:color w:val="FF0000"/>
                <w:sz w:val="24"/>
                <w:szCs w:val="24"/>
                <w:lang w:val="en-US" w:eastAsia="zh-CN"/>
              </w:rPr>
              <w:t>9</w:t>
            </w:r>
            <w:r>
              <w:rPr>
                <w:rFonts w:hint="eastAsia"/>
                <w:bCs/>
                <w:color w:val="FF0000"/>
                <w:sz w:val="24"/>
                <w:szCs w:val="24"/>
              </w:rPr>
              <w:t>mg/</w:t>
            </w:r>
            <w:r>
              <w:rPr>
                <w:rFonts w:hint="eastAsia"/>
                <w:color w:val="FF0000"/>
                <w:sz w:val="24"/>
                <w:szCs w:val="24"/>
              </w:rPr>
              <w:t>m</w:t>
            </w:r>
            <w:r>
              <w:rPr>
                <w:rFonts w:hint="eastAsia"/>
                <w:color w:val="FF0000"/>
                <w:sz w:val="24"/>
                <w:szCs w:val="24"/>
                <w:vertAlign w:val="superscript"/>
              </w:rPr>
              <w:t>3</w:t>
            </w:r>
            <w:r>
              <w:rPr>
                <w:rFonts w:hint="eastAsia"/>
                <w:color w:val="FF0000"/>
                <w:sz w:val="24"/>
                <w:szCs w:val="24"/>
                <w:lang w:eastAsia="zh-CN"/>
              </w:rPr>
              <w:t>。</w:t>
            </w:r>
            <w:r>
              <w:rPr>
                <w:color w:val="FF0000"/>
                <w:sz w:val="24"/>
                <w:szCs w:val="24"/>
              </w:rPr>
              <w:t>恶臭产生量较小</w:t>
            </w:r>
            <w:r>
              <w:rPr>
                <w:rFonts w:hint="eastAsia"/>
                <w:color w:val="FF0000"/>
                <w:sz w:val="24"/>
                <w:szCs w:val="24"/>
              </w:rPr>
              <w:t>，</w:t>
            </w:r>
            <w:r>
              <w:rPr>
                <w:color w:val="FF0000"/>
                <w:sz w:val="24"/>
                <w:szCs w:val="24"/>
              </w:rPr>
              <w:t>污水处理设施</w:t>
            </w:r>
            <w:r>
              <w:rPr>
                <w:rFonts w:hint="eastAsia"/>
                <w:color w:val="FF0000"/>
                <w:sz w:val="24"/>
                <w:szCs w:val="24"/>
              </w:rPr>
              <w:t>采取</w:t>
            </w:r>
            <w:r>
              <w:rPr>
                <w:rFonts w:hint="eastAsia"/>
                <w:color w:val="FF0000"/>
                <w:sz w:val="24"/>
                <w:szCs w:val="24"/>
                <w:lang w:val="en-US" w:eastAsia="zh-CN"/>
              </w:rPr>
              <w:t>地下安置</w:t>
            </w:r>
            <w:r>
              <w:rPr>
                <w:rFonts w:hint="eastAsia"/>
                <w:color w:val="FF0000"/>
                <w:sz w:val="24"/>
                <w:szCs w:val="24"/>
              </w:rPr>
              <w:t>，</w:t>
            </w:r>
            <w:r>
              <w:rPr>
                <w:rFonts w:hint="eastAsia"/>
                <w:color w:val="FF0000"/>
                <w:sz w:val="24"/>
                <w:szCs w:val="24"/>
                <w:lang w:val="en-US" w:eastAsia="zh-CN"/>
              </w:rPr>
              <w:t>污水处理站四周</w:t>
            </w:r>
            <w:r>
              <w:rPr>
                <w:color w:val="FF0000"/>
                <w:sz w:val="24"/>
                <w:szCs w:val="24"/>
              </w:rPr>
              <w:t>定期喷洒生物除臭剂，减少臭气产生量</w:t>
            </w:r>
            <w:r>
              <w:rPr>
                <w:rFonts w:hint="eastAsia"/>
                <w:color w:val="FF0000"/>
                <w:sz w:val="24"/>
                <w:szCs w:val="24"/>
              </w:rPr>
              <w:t>，</w:t>
            </w:r>
            <w:r>
              <w:rPr>
                <w:snapToGrid w:val="0"/>
                <w:color w:val="FF0000"/>
                <w:sz w:val="24"/>
                <w:szCs w:val="24"/>
              </w:rPr>
              <w:t>对周边环</w:t>
            </w:r>
            <w:r>
              <w:rPr>
                <w:snapToGrid w:val="0"/>
                <w:color w:val="auto"/>
                <w:sz w:val="24"/>
                <w:szCs w:val="24"/>
              </w:rPr>
              <w:t>境的影响较小</w:t>
            </w:r>
            <w:r>
              <w:rPr>
                <w:rFonts w:hint="eastAsia"/>
                <w:snapToGrid w:val="0"/>
                <w:color w:val="auto"/>
                <w:sz w:val="24"/>
                <w:szCs w:val="24"/>
              </w:rPr>
              <w:t>，</w:t>
            </w:r>
          </w:p>
          <w:p>
            <w:pPr>
              <w:spacing w:line="360" w:lineRule="auto"/>
              <w:ind w:firstLine="480" w:firstLineChars="200"/>
              <w:textAlignment w:val="baseline"/>
              <w:rPr>
                <w:rFonts w:hint="default"/>
                <w:color w:val="auto"/>
                <w:kern w:val="0"/>
                <w:sz w:val="24"/>
                <w:szCs w:val="24"/>
                <w:lang w:val="en-US" w:eastAsia="zh-CN"/>
              </w:rPr>
            </w:pPr>
            <w:r>
              <w:rPr>
                <w:rFonts w:hint="eastAsia" w:ascii="宋体" w:hAnsi="宋体" w:eastAsia="宋体" w:cs="宋体"/>
                <w:color w:val="auto"/>
                <w:kern w:val="0"/>
                <w:sz w:val="24"/>
                <w:szCs w:val="24"/>
                <w:lang w:eastAsia="zh-CN"/>
              </w:rPr>
              <w:t>②</w:t>
            </w:r>
            <w:r>
              <w:rPr>
                <w:rFonts w:hint="eastAsia"/>
                <w:color w:val="auto"/>
                <w:kern w:val="0"/>
                <w:sz w:val="24"/>
                <w:szCs w:val="24"/>
                <w:lang w:val="en-US" w:eastAsia="zh-CN"/>
              </w:rPr>
              <w:t>油烟废气</w:t>
            </w:r>
          </w:p>
          <w:p>
            <w:pPr>
              <w:spacing w:line="360" w:lineRule="auto"/>
              <w:ind w:firstLine="480" w:firstLineChars="200"/>
              <w:textAlignment w:val="baseline"/>
              <w:rPr>
                <w:rFonts w:hint="default"/>
                <w:color w:val="auto"/>
                <w:kern w:val="0"/>
                <w:sz w:val="24"/>
                <w:szCs w:val="24"/>
              </w:rPr>
            </w:pPr>
            <w:r>
              <w:rPr>
                <w:rFonts w:hint="default"/>
                <w:color w:val="auto"/>
                <w:kern w:val="0"/>
                <w:sz w:val="24"/>
                <w:szCs w:val="24"/>
              </w:rPr>
              <w:t>全</w:t>
            </w:r>
            <w:r>
              <w:rPr>
                <w:rFonts w:hint="eastAsia"/>
                <w:color w:val="auto"/>
                <w:kern w:val="0"/>
                <w:sz w:val="24"/>
                <w:szCs w:val="24"/>
                <w:lang w:val="en-US" w:eastAsia="zh-CN"/>
              </w:rPr>
              <w:t>医院工作人员</w:t>
            </w:r>
            <w:r>
              <w:rPr>
                <w:rFonts w:hint="default"/>
                <w:color w:val="auto"/>
                <w:kern w:val="0"/>
                <w:sz w:val="24"/>
                <w:szCs w:val="24"/>
              </w:rPr>
              <w:t>为</w:t>
            </w:r>
            <w:r>
              <w:rPr>
                <w:rFonts w:hint="eastAsia"/>
                <w:color w:val="auto"/>
                <w:kern w:val="0"/>
                <w:sz w:val="24"/>
                <w:szCs w:val="24"/>
                <w:lang w:val="en-US" w:eastAsia="zh-CN"/>
              </w:rPr>
              <w:t>50</w:t>
            </w:r>
            <w:r>
              <w:rPr>
                <w:rFonts w:hint="default"/>
                <w:color w:val="auto"/>
                <w:kern w:val="0"/>
                <w:sz w:val="24"/>
                <w:szCs w:val="24"/>
              </w:rPr>
              <w:t>人，设</w:t>
            </w:r>
            <w:r>
              <w:rPr>
                <w:rFonts w:hint="eastAsia"/>
                <w:color w:val="auto"/>
                <w:kern w:val="0"/>
                <w:sz w:val="24"/>
                <w:szCs w:val="24"/>
                <w:lang w:val="en-US" w:eastAsia="zh-CN"/>
              </w:rPr>
              <w:t>2</w:t>
            </w:r>
            <w:r>
              <w:rPr>
                <w:rFonts w:hint="default"/>
                <w:color w:val="auto"/>
                <w:kern w:val="0"/>
                <w:sz w:val="24"/>
                <w:szCs w:val="24"/>
              </w:rPr>
              <w:t>个炒菜灶头，食堂使用电、天然气等清洁能源作为燃料，厨房用油量按平衡膳食推荐的以每人每天食用油用量按30g计，油的平均挥发量为总耗油量的2.83%，经估算项目厨房油烟产生量平均约为</w:t>
            </w:r>
            <w:r>
              <w:rPr>
                <w:rFonts w:hint="eastAsia"/>
                <w:color w:val="auto"/>
                <w:kern w:val="0"/>
                <w:sz w:val="24"/>
                <w:szCs w:val="24"/>
                <w:lang w:val="en-US" w:eastAsia="zh-CN"/>
              </w:rPr>
              <w:t>42.45</w:t>
            </w:r>
            <w:r>
              <w:rPr>
                <w:rFonts w:hint="default"/>
                <w:color w:val="auto"/>
                <w:kern w:val="0"/>
                <w:sz w:val="24"/>
                <w:szCs w:val="24"/>
              </w:rPr>
              <w:t>g/d。高峰时段以6h/d计，油烟产生速率为</w:t>
            </w:r>
            <w:r>
              <w:rPr>
                <w:rFonts w:hint="eastAsia"/>
                <w:color w:val="auto"/>
                <w:kern w:val="0"/>
                <w:sz w:val="24"/>
                <w:szCs w:val="24"/>
                <w:lang w:val="en-US" w:eastAsia="zh-CN"/>
              </w:rPr>
              <w:t>7.075</w:t>
            </w:r>
            <w:r>
              <w:rPr>
                <w:rFonts w:hint="default"/>
                <w:color w:val="auto"/>
                <w:kern w:val="0"/>
                <w:sz w:val="24"/>
                <w:szCs w:val="24"/>
              </w:rPr>
              <w:t>g/h，安装1台油烟净化器风量为</w:t>
            </w:r>
            <w:r>
              <w:rPr>
                <w:rFonts w:hint="eastAsia"/>
                <w:color w:val="auto"/>
                <w:kern w:val="0"/>
                <w:sz w:val="24"/>
                <w:szCs w:val="24"/>
                <w:lang w:val="en-US" w:eastAsia="zh-CN"/>
              </w:rPr>
              <w:t>4</w:t>
            </w:r>
            <w:r>
              <w:rPr>
                <w:rFonts w:hint="default"/>
                <w:color w:val="auto"/>
                <w:kern w:val="0"/>
                <w:sz w:val="24"/>
                <w:szCs w:val="24"/>
              </w:rPr>
              <w:t>000m</w:t>
            </w:r>
            <w:r>
              <w:rPr>
                <w:rFonts w:hint="default"/>
                <w:color w:val="auto"/>
                <w:kern w:val="0"/>
                <w:sz w:val="24"/>
                <w:szCs w:val="24"/>
                <w:vertAlign w:val="superscript"/>
              </w:rPr>
              <w:t>3</w:t>
            </w:r>
            <w:r>
              <w:rPr>
                <w:rFonts w:hint="default"/>
                <w:color w:val="auto"/>
                <w:kern w:val="0"/>
                <w:sz w:val="24"/>
                <w:szCs w:val="24"/>
              </w:rPr>
              <w:t>/h。</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w:t>
            </w:r>
            <w:r>
              <w:rPr>
                <w:rFonts w:hint="eastAsia" w:ascii="Times New Roman" w:hAnsi="Times New Roman" w:eastAsia="宋体" w:cs="Times New Roman"/>
                <w:b/>
                <w:color w:val="auto"/>
                <w:sz w:val="21"/>
                <w:szCs w:val="21"/>
                <w:lang w:val="en-US" w:eastAsia="zh-CN"/>
              </w:rPr>
              <w:t>4-</w:t>
            </w:r>
            <w:r>
              <w:rPr>
                <w:rFonts w:hint="eastAsia" w:cs="Times New Roman"/>
                <w:b/>
                <w:color w:val="auto"/>
                <w:sz w:val="21"/>
                <w:szCs w:val="21"/>
                <w:lang w:val="en-US" w:eastAsia="zh-CN"/>
              </w:rPr>
              <w:t>2</w:t>
            </w:r>
            <w:r>
              <w:rPr>
                <w:rFonts w:hint="default" w:ascii="Times New Roman" w:hAnsi="Times New Roman" w:eastAsia="宋体" w:cs="Times New Roman"/>
                <w:b/>
                <w:color w:val="auto"/>
                <w:sz w:val="21"/>
                <w:szCs w:val="21"/>
                <w:lang w:val="en-US" w:eastAsia="zh-CN"/>
              </w:rPr>
              <w:t xml:space="preserve">  食堂油烟污染物排放情况一览表</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5"/>
              <w:gridCol w:w="1500"/>
              <w:gridCol w:w="1328"/>
              <w:gridCol w:w="1415"/>
              <w:gridCol w:w="1415"/>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污染物</w:t>
                  </w:r>
                </w:p>
              </w:tc>
              <w:tc>
                <w:tcPr>
                  <w:tcW w:w="88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产生量</w:t>
                  </w:r>
                </w:p>
              </w:tc>
              <w:tc>
                <w:tcPr>
                  <w:tcW w:w="782"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产生浓度</w:t>
                  </w:r>
                </w:p>
              </w:tc>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排放量</w:t>
                  </w:r>
                </w:p>
              </w:tc>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排放浓度</w:t>
                  </w:r>
                </w:p>
              </w:tc>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油烟</w:t>
                  </w:r>
                </w:p>
              </w:tc>
              <w:tc>
                <w:tcPr>
                  <w:tcW w:w="88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15.5</w:t>
                  </w:r>
                  <w:r>
                    <w:rPr>
                      <w:rFonts w:hint="default" w:ascii="Times New Roman" w:hAnsi="Times New Roman" w:eastAsia="宋体" w:cs="Times New Roman"/>
                      <w:color w:val="auto"/>
                      <w:sz w:val="21"/>
                      <w:szCs w:val="21"/>
                      <w:vertAlign w:val="baseline"/>
                      <w:lang w:val="en-US" w:eastAsia="zh-CN"/>
                    </w:rPr>
                    <w:t>kg/a</w:t>
                  </w:r>
                </w:p>
              </w:tc>
              <w:tc>
                <w:tcPr>
                  <w:tcW w:w="782"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1.77</w:t>
                  </w:r>
                  <w:r>
                    <w:rPr>
                      <w:rFonts w:hint="default" w:ascii="Times New Roman" w:hAnsi="Times New Roman" w:eastAsia="宋体" w:cs="Times New Roman"/>
                      <w:color w:val="auto"/>
                      <w:sz w:val="21"/>
                      <w:szCs w:val="21"/>
                      <w:vertAlign w:val="baseline"/>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3.1</w:t>
                  </w:r>
                  <w:r>
                    <w:rPr>
                      <w:rFonts w:hint="default" w:ascii="Times New Roman" w:hAnsi="Times New Roman" w:eastAsia="宋体" w:cs="Times New Roman"/>
                      <w:color w:val="auto"/>
                      <w:sz w:val="21"/>
                      <w:szCs w:val="21"/>
                      <w:vertAlign w:val="baseline"/>
                      <w:lang w:val="en-US" w:eastAsia="zh-CN"/>
                    </w:rPr>
                    <w:t>kg/a</w:t>
                  </w:r>
                </w:p>
              </w:tc>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0.354</w:t>
                  </w:r>
                  <w:r>
                    <w:rPr>
                      <w:rFonts w:hint="default" w:ascii="Times New Roman" w:hAnsi="Times New Roman" w:eastAsia="宋体" w:cs="Times New Roman"/>
                      <w:color w:val="auto"/>
                      <w:sz w:val="21"/>
                      <w:szCs w:val="21"/>
                      <w:vertAlign w:val="baseline"/>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833" w:type="pct"/>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2.0mg/m</w:t>
                  </w:r>
                  <w:r>
                    <w:rPr>
                      <w:rFonts w:hint="default" w:ascii="Times New Roman" w:hAnsi="Times New Roman" w:eastAsia="宋体" w:cs="Times New Roman"/>
                      <w:color w:val="auto"/>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6" w:type="pct"/>
                  <w:gridSpan w:val="2"/>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油烟净化设施处理效率</w:t>
                  </w:r>
                </w:p>
              </w:tc>
              <w:tc>
                <w:tcPr>
                  <w:tcW w:w="3283" w:type="pct"/>
                  <w:gridSpan w:val="4"/>
                  <w:tcBorders>
                    <w:tl2br w:val="nil"/>
                    <w:tr2bl w:val="nil"/>
                  </w:tcBorders>
                  <w:noWrap w:val="0"/>
                  <w:vAlign w:val="center"/>
                </w:tcPr>
                <w:p>
                  <w:pPr>
                    <w:pStyle w:val="2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80</w:t>
                  </w:r>
                  <w:r>
                    <w:rPr>
                      <w:rFonts w:hint="default" w:ascii="Times New Roman" w:hAnsi="Times New Roman" w:eastAsia="宋体" w:cs="Times New Roman"/>
                      <w:color w:val="auto"/>
                      <w:sz w:val="21"/>
                      <w:szCs w:val="21"/>
                      <w:vertAlign w:val="baseline"/>
                      <w:lang w:val="en-US" w:eastAsia="zh-CN"/>
                    </w:rPr>
                    <w:t>%</w:t>
                  </w:r>
                </w:p>
              </w:tc>
            </w:tr>
          </w:tbl>
          <w:p>
            <w:pPr>
              <w:spacing w:line="360" w:lineRule="auto"/>
              <w:ind w:firstLine="480" w:firstLineChars="200"/>
              <w:textAlignment w:val="baseline"/>
              <w:rPr>
                <w:rFonts w:hint="default"/>
                <w:color w:val="auto"/>
                <w:kern w:val="0"/>
                <w:sz w:val="24"/>
                <w:szCs w:val="24"/>
                <w:lang w:val="en-US" w:eastAsia="zh-CN"/>
              </w:rPr>
            </w:pPr>
            <w:r>
              <w:rPr>
                <w:rFonts w:hint="eastAsia" w:ascii="宋体" w:hAnsi="宋体" w:eastAsia="宋体" w:cs="宋体"/>
                <w:color w:val="auto"/>
                <w:kern w:val="0"/>
                <w:sz w:val="24"/>
                <w:szCs w:val="24"/>
                <w:lang w:val="en-US" w:eastAsia="zh-CN"/>
              </w:rPr>
              <w:t>③</w:t>
            </w:r>
            <w:r>
              <w:rPr>
                <w:rFonts w:hint="eastAsia"/>
                <w:color w:val="auto"/>
                <w:kern w:val="0"/>
                <w:sz w:val="24"/>
                <w:szCs w:val="24"/>
                <w:lang w:val="en-US" w:eastAsia="zh-CN"/>
              </w:rPr>
              <w:t>备用发电机烟气</w:t>
            </w:r>
          </w:p>
          <w:p>
            <w:pPr>
              <w:spacing w:line="360" w:lineRule="auto"/>
              <w:ind w:firstLine="480" w:firstLineChars="200"/>
              <w:textAlignment w:val="baseline"/>
              <w:rPr>
                <w:rFonts w:hint="default"/>
                <w:color w:val="auto"/>
                <w:kern w:val="0"/>
                <w:sz w:val="24"/>
                <w:szCs w:val="24"/>
                <w:lang w:val="en-US" w:eastAsia="zh-CN"/>
              </w:rPr>
            </w:pPr>
            <w:r>
              <w:rPr>
                <w:rFonts w:hint="default"/>
                <w:color w:val="auto"/>
                <w:kern w:val="0"/>
                <w:sz w:val="24"/>
                <w:szCs w:val="24"/>
                <w:lang w:val="en-US" w:eastAsia="zh-CN"/>
              </w:rPr>
              <w:t>项目在</w:t>
            </w:r>
            <w:r>
              <w:rPr>
                <w:rFonts w:hint="eastAsia"/>
                <w:color w:val="auto"/>
                <w:kern w:val="0"/>
                <w:sz w:val="24"/>
                <w:szCs w:val="24"/>
                <w:lang w:val="en-US" w:eastAsia="zh-CN"/>
              </w:rPr>
              <w:t>院内</w:t>
            </w:r>
            <w:r>
              <w:rPr>
                <w:rFonts w:hint="default"/>
                <w:color w:val="auto"/>
                <w:kern w:val="0"/>
                <w:sz w:val="24"/>
                <w:szCs w:val="24"/>
                <w:lang w:val="en-US" w:eastAsia="zh-CN"/>
              </w:rPr>
              <w:t>有1台50千瓦柴油发电机组作为备用电源</w:t>
            </w:r>
            <w:r>
              <w:rPr>
                <w:rFonts w:hint="eastAsia"/>
                <w:color w:val="auto"/>
                <w:kern w:val="0"/>
                <w:sz w:val="24"/>
                <w:szCs w:val="24"/>
                <w:lang w:val="en-US" w:eastAsia="zh-CN"/>
              </w:rPr>
              <w:t>，</w:t>
            </w:r>
            <w:r>
              <w:rPr>
                <w:rFonts w:hint="default"/>
                <w:color w:val="auto"/>
                <w:kern w:val="0"/>
                <w:sz w:val="24"/>
                <w:szCs w:val="24"/>
                <w:lang w:val="en-US" w:eastAsia="zh-CN"/>
              </w:rPr>
              <w:t>以备停电使用。备用发电机运行废气中主要污染物为SO</w:t>
            </w:r>
            <w:r>
              <w:rPr>
                <w:rFonts w:hint="default"/>
                <w:color w:val="auto"/>
                <w:kern w:val="0"/>
                <w:sz w:val="24"/>
                <w:szCs w:val="24"/>
                <w:vertAlign w:val="subscript"/>
                <w:lang w:val="en-US" w:eastAsia="zh-CN"/>
              </w:rPr>
              <w:t>2</w:t>
            </w:r>
            <w:r>
              <w:rPr>
                <w:rFonts w:hint="default"/>
                <w:color w:val="auto"/>
                <w:kern w:val="0"/>
                <w:sz w:val="24"/>
                <w:szCs w:val="24"/>
                <w:lang w:val="en-US" w:eastAsia="zh-CN"/>
              </w:rPr>
              <w:t>、NO</w:t>
            </w:r>
            <w:r>
              <w:rPr>
                <w:rFonts w:hint="default"/>
                <w:color w:val="auto"/>
                <w:kern w:val="0"/>
                <w:sz w:val="24"/>
                <w:szCs w:val="24"/>
                <w:vertAlign w:val="subscript"/>
                <w:lang w:val="en-US" w:eastAsia="zh-CN"/>
              </w:rPr>
              <w:t>X</w:t>
            </w:r>
            <w:r>
              <w:rPr>
                <w:rFonts w:hint="default"/>
                <w:color w:val="auto"/>
                <w:kern w:val="0"/>
                <w:sz w:val="24"/>
                <w:szCs w:val="24"/>
                <w:lang w:val="en-US" w:eastAsia="zh-CN"/>
              </w:rPr>
              <w:t>。发电机产生的废气经</w:t>
            </w:r>
            <w:r>
              <w:rPr>
                <w:rFonts w:hint="eastAsia"/>
                <w:color w:val="auto"/>
                <w:kern w:val="0"/>
                <w:sz w:val="24"/>
                <w:szCs w:val="24"/>
                <w:lang w:val="en-US" w:eastAsia="zh-CN"/>
              </w:rPr>
              <w:t>设备自带1.5</w:t>
            </w:r>
            <w:r>
              <w:rPr>
                <w:rFonts w:hint="default"/>
                <w:color w:val="auto"/>
                <w:kern w:val="0"/>
                <w:sz w:val="24"/>
                <w:szCs w:val="24"/>
                <w:lang w:val="en-US" w:eastAsia="zh-CN"/>
              </w:rPr>
              <w:t>m高的排气口排放。且由于项目所在地的供电正常，因此备用发电机的启用次数不多，对环境影响较小。</w:t>
            </w:r>
          </w:p>
          <w:p>
            <w:pPr>
              <w:spacing w:line="360" w:lineRule="auto"/>
              <w:ind w:firstLine="480" w:firstLineChars="200"/>
              <w:textAlignment w:val="baseline"/>
              <w:rPr>
                <w:rFonts w:hint="eastAsia"/>
                <w:color w:val="auto"/>
                <w:sz w:val="24"/>
                <w:szCs w:val="24"/>
              </w:rPr>
            </w:pPr>
            <w:r>
              <w:rPr>
                <w:rFonts w:hint="eastAsia"/>
                <w:color w:val="auto"/>
                <w:sz w:val="24"/>
                <w:szCs w:val="24"/>
              </w:rPr>
              <w:t>（4）监测要求</w:t>
            </w:r>
          </w:p>
          <w:p>
            <w:pPr>
              <w:pStyle w:val="42"/>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本项目运营后应定期委托有资质环境监测单位对</w:t>
            </w:r>
            <w:r>
              <w:rPr>
                <w:rFonts w:ascii="Times New Roman" w:hAnsi="Times New Roman" w:eastAsia="宋体"/>
                <w:color w:val="auto"/>
                <w:kern w:val="2"/>
                <w:sz w:val="24"/>
                <w:szCs w:val="24"/>
              </w:rPr>
              <w:t>废</w:t>
            </w:r>
            <w:r>
              <w:rPr>
                <w:rFonts w:hint="eastAsia" w:ascii="Times New Roman" w:hAnsi="Times New Roman" w:eastAsia="宋体"/>
                <w:color w:val="auto"/>
                <w:kern w:val="2"/>
                <w:sz w:val="24"/>
                <w:szCs w:val="24"/>
              </w:rPr>
              <w:t>气</w:t>
            </w:r>
            <w:r>
              <w:rPr>
                <w:rFonts w:ascii="Times New Roman" w:hAnsi="Times New Roman" w:eastAsia="宋体"/>
                <w:bCs/>
                <w:color w:val="auto"/>
                <w:sz w:val="24"/>
                <w:szCs w:val="24"/>
              </w:rPr>
              <w:t>开展污染源监测，以便及时掌握产排污规律，加强污染治理。项目运营期环境监测计划见下表</w:t>
            </w:r>
            <w:r>
              <w:rPr>
                <w:rFonts w:hint="eastAsia" w:ascii="Times New Roman" w:hAnsi="Times New Roman" w:eastAsia="宋体"/>
                <w:bCs/>
                <w:color w:val="auto"/>
                <w:sz w:val="24"/>
                <w:szCs w:val="24"/>
              </w:rPr>
              <w:t>：</w:t>
            </w:r>
          </w:p>
          <w:p>
            <w:pPr>
              <w:pStyle w:val="76"/>
              <w:rPr>
                <w:color w:val="auto"/>
                <w:szCs w:val="21"/>
              </w:rPr>
            </w:pPr>
            <w:r>
              <w:rPr>
                <w:color w:val="auto"/>
                <w:szCs w:val="21"/>
              </w:rPr>
              <w:t>表4-</w:t>
            </w:r>
            <w:r>
              <w:rPr>
                <w:rFonts w:hint="eastAsia"/>
                <w:color w:val="auto"/>
                <w:szCs w:val="21"/>
                <w:lang w:val="en-US" w:eastAsia="zh-CN"/>
              </w:rPr>
              <w:t>3</w:t>
            </w:r>
            <w:r>
              <w:rPr>
                <w:rFonts w:hint="eastAsia"/>
                <w:color w:val="auto"/>
                <w:szCs w:val="21"/>
              </w:rPr>
              <w:t xml:space="preserve">    </w:t>
            </w:r>
            <w:r>
              <w:rPr>
                <w:color w:val="auto"/>
                <w:szCs w:val="21"/>
              </w:rPr>
              <w:t>废</w:t>
            </w:r>
            <w:r>
              <w:rPr>
                <w:rFonts w:hint="eastAsia"/>
                <w:color w:val="auto"/>
                <w:szCs w:val="21"/>
              </w:rPr>
              <w:t>气</w:t>
            </w:r>
            <w:r>
              <w:rPr>
                <w:color w:val="auto"/>
                <w:szCs w:val="21"/>
              </w:rPr>
              <w:t>监测内容及计划一览表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919"/>
              <w:gridCol w:w="1252"/>
              <w:gridCol w:w="1858"/>
              <w:gridCol w:w="1188"/>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0" w:type="dxa"/>
                  <w:gridSpan w:val="2"/>
                  <w:shd w:val="clear" w:color="auto" w:fill="auto"/>
                  <w:noWrap w:val="0"/>
                  <w:vAlign w:val="center"/>
                </w:tcPr>
                <w:p>
                  <w:pPr>
                    <w:snapToGrid w:val="0"/>
                    <w:jc w:val="center"/>
                    <w:rPr>
                      <w:b/>
                      <w:bCs/>
                      <w:color w:val="auto"/>
                      <w:szCs w:val="21"/>
                    </w:rPr>
                  </w:pPr>
                  <w:r>
                    <w:rPr>
                      <w:b/>
                      <w:bCs/>
                      <w:color w:val="auto"/>
                      <w:szCs w:val="21"/>
                    </w:rPr>
                    <w:t>类别</w:t>
                  </w:r>
                </w:p>
              </w:tc>
              <w:tc>
                <w:tcPr>
                  <w:tcW w:w="1252" w:type="dxa"/>
                  <w:shd w:val="clear" w:color="auto" w:fill="auto"/>
                  <w:noWrap w:val="0"/>
                  <w:vAlign w:val="center"/>
                </w:tcPr>
                <w:p>
                  <w:pPr>
                    <w:snapToGrid w:val="0"/>
                    <w:jc w:val="center"/>
                    <w:rPr>
                      <w:b/>
                      <w:bCs/>
                      <w:color w:val="auto"/>
                      <w:szCs w:val="21"/>
                    </w:rPr>
                  </w:pPr>
                  <w:r>
                    <w:rPr>
                      <w:b/>
                      <w:bCs/>
                      <w:color w:val="auto"/>
                      <w:szCs w:val="21"/>
                    </w:rPr>
                    <w:t>监测因子</w:t>
                  </w:r>
                </w:p>
              </w:tc>
              <w:tc>
                <w:tcPr>
                  <w:tcW w:w="1859" w:type="dxa"/>
                  <w:shd w:val="clear" w:color="auto" w:fill="auto"/>
                  <w:noWrap w:val="0"/>
                  <w:vAlign w:val="center"/>
                </w:tcPr>
                <w:p>
                  <w:pPr>
                    <w:snapToGrid w:val="0"/>
                    <w:jc w:val="center"/>
                    <w:rPr>
                      <w:b/>
                      <w:bCs/>
                      <w:color w:val="auto"/>
                      <w:szCs w:val="21"/>
                    </w:rPr>
                  </w:pPr>
                  <w:r>
                    <w:rPr>
                      <w:b/>
                      <w:bCs/>
                      <w:color w:val="auto"/>
                      <w:szCs w:val="21"/>
                    </w:rPr>
                    <w:t>监测</w:t>
                  </w:r>
                  <w:r>
                    <w:rPr>
                      <w:rFonts w:hint="eastAsia"/>
                      <w:b/>
                      <w:bCs/>
                      <w:color w:val="auto"/>
                      <w:szCs w:val="21"/>
                    </w:rPr>
                    <w:t>点位</w:t>
                  </w:r>
                </w:p>
              </w:tc>
              <w:tc>
                <w:tcPr>
                  <w:tcW w:w="1188" w:type="dxa"/>
                  <w:shd w:val="clear" w:color="auto" w:fill="auto"/>
                  <w:noWrap w:val="0"/>
                  <w:vAlign w:val="center"/>
                </w:tcPr>
                <w:p>
                  <w:pPr>
                    <w:snapToGrid w:val="0"/>
                    <w:jc w:val="center"/>
                    <w:rPr>
                      <w:b/>
                      <w:bCs/>
                      <w:color w:val="auto"/>
                      <w:szCs w:val="21"/>
                    </w:rPr>
                  </w:pPr>
                  <w:r>
                    <w:rPr>
                      <w:b/>
                      <w:bCs/>
                      <w:color w:val="auto"/>
                      <w:szCs w:val="21"/>
                    </w:rPr>
                    <w:t>监测频次</w:t>
                  </w:r>
                </w:p>
              </w:tc>
              <w:tc>
                <w:tcPr>
                  <w:tcW w:w="2557" w:type="dxa"/>
                  <w:shd w:val="clear" w:color="auto" w:fill="auto"/>
                  <w:noWrap w:val="0"/>
                  <w:vAlign w:val="center"/>
                </w:tcPr>
                <w:p>
                  <w:pPr>
                    <w:snapToGrid w:val="0"/>
                    <w:jc w:val="center"/>
                    <w:rPr>
                      <w:b/>
                      <w:bCs/>
                      <w:color w:val="auto"/>
                      <w:szCs w:val="21"/>
                    </w:rPr>
                  </w:pPr>
                  <w:r>
                    <w:rPr>
                      <w:b/>
                      <w:bCs/>
                      <w:color w:val="auto"/>
                      <w:szCs w:val="21"/>
                    </w:rPr>
                    <w:t>控制标准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1" w:type="dxa"/>
                  <w:vMerge w:val="restart"/>
                  <w:shd w:val="clear" w:color="auto" w:fill="auto"/>
                  <w:noWrap w:val="0"/>
                  <w:vAlign w:val="center"/>
                </w:tcPr>
                <w:p>
                  <w:pPr>
                    <w:snapToGrid w:val="0"/>
                    <w:jc w:val="center"/>
                    <w:rPr>
                      <w:color w:val="auto"/>
                      <w:szCs w:val="21"/>
                    </w:rPr>
                  </w:pPr>
                  <w:r>
                    <w:rPr>
                      <w:rFonts w:hint="eastAsia"/>
                      <w:color w:val="auto"/>
                      <w:szCs w:val="21"/>
                    </w:rPr>
                    <w:t>废气</w:t>
                  </w:r>
                </w:p>
              </w:tc>
              <w:tc>
                <w:tcPr>
                  <w:tcW w:w="919" w:type="dxa"/>
                  <w:shd w:val="clear" w:color="auto" w:fill="auto"/>
                  <w:noWrap w:val="0"/>
                  <w:vAlign w:val="center"/>
                </w:tcPr>
                <w:p>
                  <w:pPr>
                    <w:snapToGrid w:val="0"/>
                    <w:jc w:val="center"/>
                    <w:rPr>
                      <w:rFonts w:hint="eastAsia"/>
                      <w:color w:val="auto"/>
                      <w:szCs w:val="21"/>
                      <w:lang w:val="en-US" w:eastAsia="zh-CN"/>
                    </w:rPr>
                  </w:pPr>
                  <w:r>
                    <w:rPr>
                      <w:rFonts w:hint="eastAsia"/>
                      <w:color w:val="auto"/>
                      <w:szCs w:val="21"/>
                      <w:lang w:val="en-US" w:eastAsia="zh-CN"/>
                    </w:rPr>
                    <w:t>污水处理设施恶臭</w:t>
                  </w:r>
                </w:p>
              </w:tc>
              <w:tc>
                <w:tcPr>
                  <w:tcW w:w="1252" w:type="dxa"/>
                  <w:shd w:val="clear" w:color="auto" w:fill="auto"/>
                  <w:noWrap w:val="0"/>
                  <w:vAlign w:val="center"/>
                </w:tcPr>
                <w:p>
                  <w:pPr>
                    <w:snapToGrid w:val="0"/>
                    <w:jc w:val="center"/>
                    <w:rPr>
                      <w:rFonts w:hint="default"/>
                      <w:color w:val="auto"/>
                      <w:szCs w:val="21"/>
                      <w:lang w:val="en-US" w:eastAsia="zh-CN"/>
                    </w:rPr>
                  </w:pPr>
                  <w:r>
                    <w:rPr>
                      <w:rFonts w:hint="eastAsia"/>
                      <w:color w:val="auto"/>
                      <w:szCs w:val="21"/>
                      <w:lang w:val="en-US" w:eastAsia="zh-CN"/>
                    </w:rPr>
                    <w:t>硫化氢、氨、臭气浓度</w:t>
                  </w:r>
                </w:p>
              </w:tc>
              <w:tc>
                <w:tcPr>
                  <w:tcW w:w="1859" w:type="dxa"/>
                  <w:shd w:val="clear" w:color="auto" w:fill="auto"/>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污水处理站周界</w:t>
                  </w:r>
                </w:p>
              </w:tc>
              <w:tc>
                <w:tcPr>
                  <w:tcW w:w="1188" w:type="dxa"/>
                  <w:shd w:val="clear" w:color="auto" w:fill="auto"/>
                  <w:noWrap w:val="0"/>
                  <w:vAlign w:val="center"/>
                </w:tcPr>
                <w:p>
                  <w:pPr>
                    <w:snapToGrid w:val="0"/>
                    <w:jc w:val="center"/>
                    <w:rPr>
                      <w:color w:val="auto"/>
                      <w:szCs w:val="21"/>
                    </w:rPr>
                  </w:pPr>
                  <w:r>
                    <w:rPr>
                      <w:color w:val="auto"/>
                      <w:szCs w:val="21"/>
                    </w:rPr>
                    <w:t>1次/</w:t>
                  </w:r>
                  <w:r>
                    <w:rPr>
                      <w:rFonts w:hint="eastAsia"/>
                      <w:color w:val="auto"/>
                      <w:szCs w:val="21"/>
                    </w:rPr>
                    <w:t>季度</w:t>
                  </w:r>
                </w:p>
              </w:tc>
              <w:tc>
                <w:tcPr>
                  <w:tcW w:w="2557" w:type="dxa"/>
                  <w:shd w:val="clear" w:color="auto" w:fill="auto"/>
                  <w:noWrap w:val="0"/>
                  <w:vAlign w:val="center"/>
                </w:tcPr>
                <w:p>
                  <w:pPr>
                    <w:snapToGrid w:val="0"/>
                    <w:jc w:val="center"/>
                    <w:rPr>
                      <w:color w:val="auto"/>
                      <w:szCs w:val="21"/>
                    </w:rPr>
                  </w:pPr>
                  <w:r>
                    <w:rPr>
                      <w:bCs/>
                      <w:snapToGrid w:val="0"/>
                      <w:color w:val="auto"/>
                      <w:kern w:val="0"/>
                      <w:szCs w:val="21"/>
                      <w:lang w:val="en-GB"/>
                    </w:rPr>
                    <w:t>《医疗机构水污染物排放标准》（GB18466-2005）表3</w:t>
                  </w:r>
                  <w:r>
                    <w:rPr>
                      <w:rFonts w:hint="eastAsia"/>
                      <w:bCs/>
                      <w:snapToGrid w:val="0"/>
                      <w:color w:val="auto"/>
                      <w:kern w:val="0"/>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1" w:type="dxa"/>
                  <w:vMerge w:val="continue"/>
                  <w:shd w:val="clear" w:color="auto" w:fill="auto"/>
                  <w:noWrap w:val="0"/>
                  <w:vAlign w:val="center"/>
                </w:tcPr>
                <w:p>
                  <w:pPr>
                    <w:snapToGrid w:val="0"/>
                    <w:jc w:val="center"/>
                    <w:rPr>
                      <w:rFonts w:hint="eastAsia"/>
                      <w:color w:val="auto"/>
                      <w:szCs w:val="21"/>
                    </w:rPr>
                  </w:pPr>
                </w:p>
              </w:tc>
              <w:tc>
                <w:tcPr>
                  <w:tcW w:w="919" w:type="dxa"/>
                  <w:shd w:val="clear" w:color="auto" w:fill="auto"/>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食堂油烟</w:t>
                  </w:r>
                </w:p>
              </w:tc>
              <w:tc>
                <w:tcPr>
                  <w:tcW w:w="1252" w:type="dxa"/>
                  <w:shd w:val="clear" w:color="auto" w:fill="auto"/>
                  <w:noWrap w:val="0"/>
                  <w:vAlign w:val="center"/>
                </w:tcPr>
                <w:p>
                  <w:pPr>
                    <w:widowControl/>
                    <w:adjustRightInd w:val="0"/>
                    <w:snapToGrid w:val="0"/>
                    <w:spacing w:line="300" w:lineRule="exact"/>
                    <w:jc w:val="center"/>
                    <w:rPr>
                      <w:rFonts w:hint="eastAsia" w:ascii="Times New Roman" w:hAnsi="Times New Roman" w:eastAsia="宋体" w:cs="宋体"/>
                      <w:color w:val="auto"/>
                      <w:kern w:val="2"/>
                      <w:sz w:val="21"/>
                      <w:szCs w:val="24"/>
                      <w:lang w:val="en-US" w:eastAsia="zh-CN" w:bidi="ar-SA"/>
                    </w:rPr>
                  </w:pPr>
                  <w:r>
                    <w:rPr>
                      <w:rFonts w:hint="eastAsia" w:cs="宋体"/>
                      <w:color w:val="auto"/>
                      <w:lang w:val="en-US" w:eastAsia="zh-CN"/>
                    </w:rPr>
                    <w:t>油烟废气</w:t>
                  </w:r>
                </w:p>
              </w:tc>
              <w:tc>
                <w:tcPr>
                  <w:tcW w:w="1859" w:type="dxa"/>
                  <w:shd w:val="clear" w:color="auto" w:fill="auto"/>
                  <w:noWrap w:val="0"/>
                  <w:vAlign w:val="center"/>
                </w:tcPr>
                <w:p>
                  <w:pPr>
                    <w:widowControl/>
                    <w:adjustRightInd w:val="0"/>
                    <w:snapToGrid w:val="0"/>
                    <w:spacing w:line="300" w:lineRule="exact"/>
                    <w:jc w:val="center"/>
                    <w:rPr>
                      <w:rFonts w:hint="default" w:ascii="Times New Roman" w:hAnsi="Times New Roman" w:eastAsia="宋体" w:cs="宋体"/>
                      <w:color w:val="auto"/>
                      <w:kern w:val="0"/>
                      <w:sz w:val="21"/>
                      <w:szCs w:val="24"/>
                      <w:lang w:val="en-US" w:eastAsia="zh-CN" w:bidi="ar-SA"/>
                    </w:rPr>
                  </w:pPr>
                  <w:r>
                    <w:rPr>
                      <w:rFonts w:hint="eastAsia" w:cs="宋体"/>
                      <w:color w:val="auto"/>
                      <w:kern w:val="0"/>
                      <w:lang w:val="en-US" w:eastAsia="zh-CN"/>
                    </w:rPr>
                    <w:t>油烟净化器排口</w:t>
                  </w:r>
                </w:p>
              </w:tc>
              <w:tc>
                <w:tcPr>
                  <w:tcW w:w="1188" w:type="dxa"/>
                  <w:shd w:val="clear" w:color="auto" w:fill="auto"/>
                  <w:noWrap w:val="0"/>
                  <w:vAlign w:val="center"/>
                </w:tcPr>
                <w:p>
                  <w:pPr>
                    <w:widowControl/>
                    <w:adjustRightInd w:val="0"/>
                    <w:snapToGrid w:val="0"/>
                    <w:spacing w:line="300" w:lineRule="exact"/>
                    <w:jc w:val="center"/>
                    <w:rPr>
                      <w:rFonts w:ascii="Times New Roman" w:hAnsi="Times New Roman" w:eastAsia="宋体" w:cs="Times New Roman"/>
                      <w:color w:val="auto"/>
                      <w:kern w:val="2"/>
                      <w:sz w:val="21"/>
                      <w:szCs w:val="24"/>
                      <w:lang w:val="en-US" w:eastAsia="zh-CN" w:bidi="ar-SA"/>
                    </w:rPr>
                  </w:pPr>
                  <w:r>
                    <w:rPr>
                      <w:color w:val="auto"/>
                    </w:rPr>
                    <w:t>1</w:t>
                  </w:r>
                  <w:r>
                    <w:rPr>
                      <w:rFonts w:hint="eastAsia" w:cs="宋体"/>
                      <w:color w:val="auto"/>
                    </w:rPr>
                    <w:t>次</w:t>
                  </w:r>
                  <w:r>
                    <w:rPr>
                      <w:color w:val="auto"/>
                    </w:rPr>
                    <w:t>/</w:t>
                  </w:r>
                  <w:r>
                    <w:rPr>
                      <w:rFonts w:hint="eastAsia" w:cs="宋体"/>
                      <w:color w:val="auto"/>
                    </w:rPr>
                    <w:t>年</w:t>
                  </w:r>
                </w:p>
              </w:tc>
              <w:tc>
                <w:tcPr>
                  <w:tcW w:w="2557" w:type="dxa"/>
                  <w:shd w:val="clear" w:color="auto" w:fill="auto"/>
                  <w:noWrap w:val="0"/>
                  <w:vAlign w:val="center"/>
                </w:tcPr>
                <w:p>
                  <w:pPr>
                    <w:widowControl/>
                    <w:adjustRightInd w:val="0"/>
                    <w:snapToGrid w:val="0"/>
                    <w:spacing w:line="300" w:lineRule="exact"/>
                    <w:jc w:val="center"/>
                    <w:rPr>
                      <w:rFonts w:hint="eastAsia" w:ascii="Times New Roman" w:hAnsi="Times New Roman" w:eastAsia="宋体" w:cs="宋体"/>
                      <w:color w:val="auto"/>
                      <w:kern w:val="0"/>
                      <w:sz w:val="21"/>
                      <w:szCs w:val="24"/>
                      <w:lang w:val="en-GB" w:eastAsia="zh-CN" w:bidi="ar-SA"/>
                    </w:rPr>
                  </w:pPr>
                  <w:r>
                    <w:rPr>
                      <w:rFonts w:hint="eastAsia" w:cs="宋体"/>
                      <w:color w:val="auto"/>
                      <w:kern w:val="0"/>
                      <w:lang w:eastAsia="zh-CN"/>
                    </w:rPr>
                    <w:t>《</w:t>
                  </w:r>
                  <w:r>
                    <w:rPr>
                      <w:rFonts w:hint="eastAsia" w:cs="宋体"/>
                      <w:color w:val="auto"/>
                      <w:kern w:val="0"/>
                      <w:lang w:val="en-US" w:eastAsia="zh-CN"/>
                    </w:rPr>
                    <w:t>饮食业油烟排放标准</w:t>
                  </w:r>
                  <w:r>
                    <w:rPr>
                      <w:rFonts w:hint="eastAsia" w:cs="宋体"/>
                      <w:color w:val="auto"/>
                      <w:kern w:val="0"/>
                      <w:lang w:eastAsia="zh-CN"/>
                    </w:rPr>
                    <w:t>》（</w:t>
                  </w:r>
                  <w:r>
                    <w:rPr>
                      <w:rFonts w:hint="eastAsia" w:cs="宋体"/>
                      <w:color w:val="auto"/>
                      <w:kern w:val="0"/>
                      <w:lang w:val="en-US" w:eastAsia="zh-CN"/>
                    </w:rPr>
                    <w:t>GB18483-2001</w:t>
                  </w:r>
                  <w:r>
                    <w:rPr>
                      <w:rFonts w:hint="eastAsia" w:cs="宋体"/>
                      <w:color w:val="auto"/>
                      <w:kern w:val="0"/>
                      <w:lang w:eastAsia="zh-CN"/>
                    </w:rPr>
                    <w:t>）</w:t>
                  </w:r>
                </w:p>
              </w:tc>
            </w:tr>
          </w:tbl>
          <w:p>
            <w:pPr>
              <w:spacing w:line="360" w:lineRule="auto"/>
              <w:ind w:firstLine="480" w:firstLineChars="200"/>
              <w:textAlignment w:val="baseline"/>
              <w:rPr>
                <w:color w:val="auto"/>
                <w:sz w:val="24"/>
                <w:szCs w:val="24"/>
              </w:rPr>
            </w:pPr>
            <w:r>
              <w:rPr>
                <w:color w:val="auto"/>
                <w:sz w:val="24"/>
                <w:szCs w:val="24"/>
              </w:rPr>
              <w:t>（</w:t>
            </w:r>
            <w:r>
              <w:rPr>
                <w:rFonts w:hint="eastAsia"/>
                <w:color w:val="auto"/>
                <w:sz w:val="24"/>
                <w:szCs w:val="24"/>
                <w:lang w:val="en-US" w:eastAsia="zh-CN"/>
              </w:rPr>
              <w:t>3</w:t>
            </w:r>
            <w:r>
              <w:rPr>
                <w:color w:val="auto"/>
                <w:sz w:val="24"/>
                <w:szCs w:val="24"/>
              </w:rPr>
              <w:t>）治理方式可行性分析</w:t>
            </w:r>
          </w:p>
          <w:p>
            <w:pPr>
              <w:pStyle w:val="75"/>
              <w:adjustRightInd w:val="0"/>
              <w:snapToGrid w:val="0"/>
              <w:ind w:firstLine="420"/>
              <w:rPr>
                <w:rFonts w:hAnsi="Times New Roman" w:cs="Times New Roman"/>
                <w:bCs/>
                <w:snapToGrid w:val="0"/>
                <w:color w:val="auto"/>
                <w:kern w:val="0"/>
                <w:sz w:val="24"/>
                <w:szCs w:val="24"/>
              </w:rPr>
            </w:pPr>
            <w:r>
              <w:rPr>
                <w:rFonts w:hAnsi="Times New Roman" w:cs="Times New Roman"/>
                <w:color w:val="auto"/>
                <w:sz w:val="24"/>
                <w:szCs w:val="24"/>
              </w:rPr>
              <w:t>项目运行期间主要为污水处理设施的恶臭</w:t>
            </w:r>
            <w:r>
              <w:rPr>
                <w:rFonts w:hint="eastAsia" w:hAnsi="Times New Roman" w:cs="Times New Roman"/>
                <w:color w:val="auto"/>
                <w:sz w:val="24"/>
                <w:szCs w:val="24"/>
              </w:rPr>
              <w:t>，</w:t>
            </w:r>
            <w:r>
              <w:rPr>
                <w:rFonts w:hint="eastAsia" w:hAnsi="Times New Roman"/>
                <w:color w:val="auto"/>
                <w:sz w:val="24"/>
                <w:szCs w:val="24"/>
              </w:rPr>
              <w:t>污水处理站</w:t>
            </w:r>
            <w:r>
              <w:rPr>
                <w:rFonts w:hAnsi="Times New Roman" w:cs="Times New Roman"/>
                <w:color w:val="auto"/>
                <w:sz w:val="24"/>
                <w:szCs w:val="24"/>
              </w:rPr>
              <w:t>处理规模为</w:t>
            </w:r>
            <w:r>
              <w:rPr>
                <w:rFonts w:hint="eastAsia" w:hAnsi="Times New Roman" w:cs="Times New Roman"/>
                <w:color w:val="auto"/>
                <w:sz w:val="24"/>
                <w:szCs w:val="24"/>
                <w:lang w:val="en-US" w:eastAsia="zh-CN"/>
              </w:rPr>
              <w:t>30</w:t>
            </w:r>
            <w:r>
              <w:rPr>
                <w:rFonts w:hint="eastAsia" w:hAnsi="Times New Roman" w:cs="Times New Roman"/>
                <w:color w:val="auto"/>
                <w:sz w:val="24"/>
                <w:szCs w:val="24"/>
              </w:rPr>
              <w:t>m</w:t>
            </w:r>
            <w:r>
              <w:rPr>
                <w:rFonts w:hint="eastAsia" w:hAnsi="Times New Roman" w:cs="Times New Roman"/>
                <w:color w:val="auto"/>
                <w:sz w:val="24"/>
                <w:szCs w:val="24"/>
                <w:vertAlign w:val="superscript"/>
              </w:rPr>
              <w:t>3</w:t>
            </w:r>
            <w:r>
              <w:rPr>
                <w:rFonts w:hAnsi="Times New Roman" w:cs="Times New Roman"/>
                <w:color w:val="auto"/>
                <w:sz w:val="24"/>
                <w:szCs w:val="24"/>
              </w:rPr>
              <w:t>/d</w:t>
            </w:r>
            <w:r>
              <w:rPr>
                <w:rFonts w:hint="eastAsia" w:hAnsi="Times New Roman" w:cs="Times New Roman"/>
                <w:color w:val="auto"/>
                <w:sz w:val="24"/>
                <w:szCs w:val="24"/>
              </w:rPr>
              <w:t>，</w:t>
            </w:r>
            <w:r>
              <w:rPr>
                <w:rFonts w:hAnsi="Times New Roman" w:cs="Times New Roman"/>
                <w:color w:val="auto"/>
                <w:sz w:val="24"/>
                <w:szCs w:val="24"/>
              </w:rPr>
              <w:t>恶臭产生量较小。</w:t>
            </w:r>
            <w:r>
              <w:rPr>
                <w:rFonts w:hint="eastAsia" w:hAnsi="Times New Roman" w:cs="Times New Roman"/>
                <w:color w:val="auto"/>
                <w:kern w:val="0"/>
                <w:sz w:val="24"/>
                <w:szCs w:val="24"/>
              </w:rPr>
              <w:t>污水处理装置</w:t>
            </w:r>
            <w:r>
              <w:rPr>
                <w:rFonts w:hint="eastAsia" w:hAnsi="Times New Roman" w:cs="Times New Roman"/>
                <w:color w:val="auto"/>
                <w:kern w:val="0"/>
                <w:sz w:val="24"/>
                <w:szCs w:val="24"/>
                <w:lang w:val="en-US" w:eastAsia="zh-CN"/>
              </w:rPr>
              <w:t>地下安置、</w:t>
            </w:r>
            <w:r>
              <w:rPr>
                <w:rFonts w:hint="eastAsia" w:hAnsi="Times New Roman" w:cs="Times New Roman"/>
                <w:color w:val="auto"/>
                <w:kern w:val="0"/>
                <w:sz w:val="24"/>
                <w:szCs w:val="24"/>
              </w:rPr>
              <w:t>封闭运行，</w:t>
            </w:r>
            <w:r>
              <w:rPr>
                <w:rFonts w:hint="eastAsia" w:hAnsi="Times New Roman" w:cs="Times New Roman"/>
                <w:color w:val="auto"/>
                <w:kern w:val="0"/>
                <w:sz w:val="24"/>
                <w:szCs w:val="24"/>
                <w:lang w:val="en-US" w:eastAsia="zh-CN"/>
              </w:rPr>
              <w:t>水泵</w:t>
            </w:r>
            <w:r>
              <w:rPr>
                <w:rFonts w:hint="eastAsia" w:hAnsi="Times New Roman" w:cs="Times New Roman"/>
                <w:color w:val="auto"/>
                <w:sz w:val="24"/>
                <w:szCs w:val="24"/>
              </w:rPr>
              <w:t>置于</w:t>
            </w:r>
            <w:r>
              <w:rPr>
                <w:rFonts w:hint="eastAsia" w:hAnsi="Times New Roman" w:cs="Times New Roman"/>
                <w:color w:val="auto"/>
                <w:sz w:val="24"/>
                <w:szCs w:val="24"/>
                <w:lang w:val="en-US" w:eastAsia="zh-CN"/>
              </w:rPr>
              <w:t>设备</w:t>
            </w:r>
            <w:r>
              <w:rPr>
                <w:rFonts w:hint="eastAsia" w:hAnsi="Times New Roman" w:cs="Times New Roman"/>
                <w:color w:val="auto"/>
                <w:sz w:val="24"/>
                <w:szCs w:val="24"/>
              </w:rPr>
              <w:t>间内</w:t>
            </w:r>
            <w:r>
              <w:rPr>
                <w:rFonts w:hint="eastAsia" w:hAnsi="Times New Roman" w:cs="Times New Roman"/>
                <w:color w:val="auto"/>
                <w:kern w:val="0"/>
                <w:sz w:val="24"/>
                <w:szCs w:val="24"/>
              </w:rPr>
              <w:t>，</w:t>
            </w:r>
            <w:r>
              <w:rPr>
                <w:rFonts w:hint="eastAsia" w:hAnsi="Times New Roman" w:cs="Times New Roman"/>
                <w:color w:val="auto"/>
                <w:kern w:val="0"/>
                <w:sz w:val="24"/>
                <w:szCs w:val="24"/>
                <w:lang w:val="en-US" w:eastAsia="zh-CN"/>
              </w:rPr>
              <w:t>污水处理站四周</w:t>
            </w:r>
            <w:r>
              <w:rPr>
                <w:rFonts w:hint="eastAsia" w:hAnsi="Times New Roman" w:cs="Times New Roman"/>
                <w:color w:val="auto"/>
                <w:kern w:val="0"/>
                <w:sz w:val="24"/>
                <w:szCs w:val="24"/>
              </w:rPr>
              <w:t>定期喷洒生物除臭剂，减少臭气产生量。本项目</w:t>
            </w:r>
            <w:r>
              <w:rPr>
                <w:rFonts w:hint="eastAsia" w:hAnsi="Times New Roman" w:cs="Times New Roman"/>
                <w:color w:val="auto"/>
                <w:sz w:val="24"/>
                <w:szCs w:val="24"/>
              </w:rPr>
              <w:t>污水处理装置</w:t>
            </w:r>
            <w:r>
              <w:rPr>
                <w:rFonts w:hAnsi="Times New Roman" w:cs="Times New Roman"/>
                <w:color w:val="auto"/>
                <w:sz w:val="24"/>
                <w:szCs w:val="24"/>
              </w:rPr>
              <w:t>产生的</w:t>
            </w:r>
            <w:r>
              <w:rPr>
                <w:rFonts w:hint="eastAsia" w:hAnsi="Times New Roman" w:cs="Times New Roman"/>
                <w:color w:val="auto"/>
                <w:sz w:val="24"/>
                <w:szCs w:val="24"/>
              </w:rPr>
              <w:t>恶臭对周围环境影响较小，采取封闭运行方式可行，</w:t>
            </w:r>
            <w:r>
              <w:rPr>
                <w:rFonts w:hAnsi="Times New Roman" w:cs="Times New Roman"/>
                <w:bCs/>
                <w:snapToGrid w:val="0"/>
                <w:color w:val="auto"/>
                <w:kern w:val="0"/>
                <w:sz w:val="24"/>
                <w:szCs w:val="24"/>
                <w:lang w:val="en-GB"/>
              </w:rPr>
              <w:t>污水处理站恶臭</w:t>
            </w:r>
            <w:r>
              <w:rPr>
                <w:rFonts w:hint="eastAsia" w:hAnsi="Times New Roman" w:cs="Times New Roman"/>
                <w:bCs/>
                <w:snapToGrid w:val="0"/>
                <w:color w:val="auto"/>
                <w:kern w:val="0"/>
                <w:sz w:val="24"/>
                <w:szCs w:val="24"/>
                <w:lang w:val="en-US" w:eastAsia="zh-CN"/>
              </w:rPr>
              <w:t>气体</w:t>
            </w:r>
            <w:r>
              <w:rPr>
                <w:rFonts w:hAnsi="Times New Roman" w:cs="Times New Roman"/>
                <w:bCs/>
                <w:snapToGrid w:val="0"/>
                <w:color w:val="auto"/>
                <w:kern w:val="0"/>
                <w:sz w:val="24"/>
                <w:szCs w:val="24"/>
                <w:lang w:val="en-GB"/>
              </w:rPr>
              <w:t>排放</w:t>
            </w:r>
            <w:r>
              <w:rPr>
                <w:rFonts w:hint="eastAsia" w:hAnsi="Times New Roman" w:cs="Times New Roman"/>
                <w:bCs/>
                <w:snapToGrid w:val="0"/>
                <w:color w:val="auto"/>
                <w:kern w:val="0"/>
                <w:sz w:val="24"/>
                <w:szCs w:val="24"/>
              </w:rPr>
              <w:t>可满足</w:t>
            </w:r>
            <w:r>
              <w:rPr>
                <w:rFonts w:hAnsi="Times New Roman" w:cs="Times New Roman"/>
                <w:bCs/>
                <w:snapToGrid w:val="0"/>
                <w:color w:val="auto"/>
                <w:kern w:val="0"/>
                <w:sz w:val="24"/>
                <w:szCs w:val="24"/>
                <w:lang w:val="en-GB"/>
              </w:rPr>
              <w:t>《医疗机构水污染物排放标准》（GB18466-2005）表3规定的最高允许浓度。</w:t>
            </w:r>
          </w:p>
          <w:p>
            <w:pPr>
              <w:pStyle w:val="75"/>
              <w:adjustRightInd w:val="0"/>
              <w:snapToGrid w:val="0"/>
              <w:ind w:firstLine="420"/>
              <w:rPr>
                <w:rFonts w:hAnsi="Times New Roman" w:cs="Times New Roman"/>
                <w:bCs/>
                <w:snapToGrid w:val="0"/>
                <w:color w:val="auto"/>
                <w:kern w:val="0"/>
                <w:sz w:val="24"/>
                <w:szCs w:val="24"/>
              </w:rPr>
            </w:pPr>
            <w:r>
              <w:rPr>
                <w:rFonts w:hAnsi="Times New Roman" w:cs="Times New Roman"/>
                <w:color w:val="auto"/>
                <w:sz w:val="24"/>
                <w:szCs w:val="24"/>
              </w:rPr>
              <w:t>综上，本项目</w:t>
            </w:r>
            <w:r>
              <w:rPr>
                <w:rFonts w:hint="eastAsia" w:hAnsi="Times New Roman" w:cs="Times New Roman"/>
                <w:color w:val="auto"/>
                <w:sz w:val="24"/>
                <w:szCs w:val="24"/>
              </w:rPr>
              <w:t>废气治理方式可行。</w:t>
            </w:r>
          </w:p>
          <w:p>
            <w:pPr>
              <w:spacing w:line="360" w:lineRule="auto"/>
              <w:ind w:firstLine="482" w:firstLineChars="200"/>
              <w:rPr>
                <w:b/>
                <w:bCs/>
                <w:color w:val="auto"/>
                <w:sz w:val="24"/>
                <w:szCs w:val="24"/>
              </w:rPr>
            </w:pPr>
            <w:r>
              <w:rPr>
                <w:b/>
                <w:bCs/>
                <w:color w:val="auto"/>
                <w:sz w:val="24"/>
                <w:szCs w:val="24"/>
              </w:rPr>
              <w:t>2、废水</w:t>
            </w:r>
          </w:p>
          <w:p>
            <w:pPr>
              <w:spacing w:line="360" w:lineRule="auto"/>
              <w:ind w:firstLine="480" w:firstLineChars="200"/>
              <w:rPr>
                <w:snapToGrid w:val="0"/>
                <w:color w:val="auto"/>
                <w:sz w:val="24"/>
                <w:szCs w:val="24"/>
              </w:rPr>
            </w:pPr>
            <w:r>
              <w:rPr>
                <w:color w:val="auto"/>
                <w:sz w:val="24"/>
                <w:szCs w:val="24"/>
              </w:rPr>
              <w:t>（1）产排污环节、类别、污染物种类、污染物产生浓度和产生量</w:t>
            </w:r>
          </w:p>
          <w:p>
            <w:pPr>
              <w:spacing w:line="360" w:lineRule="auto"/>
              <w:ind w:firstLine="480" w:firstLineChars="200"/>
              <w:rPr>
                <w:snapToGrid w:val="0"/>
                <w:color w:val="auto"/>
                <w:sz w:val="24"/>
                <w:szCs w:val="24"/>
              </w:rPr>
            </w:pPr>
            <w:r>
              <w:rPr>
                <w:snapToGrid w:val="0"/>
                <w:color w:val="auto"/>
                <w:sz w:val="24"/>
                <w:szCs w:val="24"/>
              </w:rPr>
              <w:t>项目运营期产生的废水主要为</w:t>
            </w:r>
            <w:r>
              <w:rPr>
                <w:rFonts w:hint="eastAsia"/>
                <w:snapToGrid w:val="0"/>
                <w:color w:val="auto"/>
                <w:sz w:val="24"/>
                <w:szCs w:val="24"/>
                <w:lang w:val="en-US" w:eastAsia="zh-CN"/>
              </w:rPr>
              <w:t>生活污水、食堂废水</w:t>
            </w:r>
            <w:r>
              <w:rPr>
                <w:rFonts w:hint="eastAsia"/>
                <w:snapToGrid w:val="0"/>
                <w:color w:val="auto"/>
                <w:sz w:val="24"/>
                <w:szCs w:val="24"/>
              </w:rPr>
              <w:t>、</w:t>
            </w:r>
            <w:r>
              <w:rPr>
                <w:snapToGrid w:val="0"/>
                <w:color w:val="auto"/>
                <w:sz w:val="24"/>
                <w:szCs w:val="24"/>
              </w:rPr>
              <w:t>医疗废水。</w:t>
            </w:r>
          </w:p>
          <w:p>
            <w:pPr>
              <w:spacing w:line="360" w:lineRule="auto"/>
              <w:ind w:firstLine="480" w:firstLineChars="200"/>
              <w:rPr>
                <w:rFonts w:hint="eastAsia"/>
                <w:bCs/>
                <w:color w:val="auto"/>
                <w:sz w:val="24"/>
                <w:szCs w:val="24"/>
              </w:rPr>
            </w:pPr>
            <w:r>
              <w:rPr>
                <w:rFonts w:hint="eastAsia"/>
                <w:snapToGrid w:val="0"/>
                <w:color w:val="auto"/>
                <w:sz w:val="24"/>
                <w:szCs w:val="24"/>
              </w:rPr>
              <w:t>本项目运营期间，医护人员办公会产生生活污水，根据前文分析，</w:t>
            </w:r>
            <w:r>
              <w:rPr>
                <w:bCs/>
                <w:color w:val="auto"/>
                <w:sz w:val="24"/>
                <w:szCs w:val="24"/>
              </w:rPr>
              <w:t>生活</w:t>
            </w:r>
            <w:r>
              <w:rPr>
                <w:rFonts w:hint="eastAsia"/>
                <w:bCs/>
                <w:color w:val="auto"/>
                <w:sz w:val="24"/>
                <w:szCs w:val="24"/>
              </w:rPr>
              <w:t>污水排放量为</w:t>
            </w:r>
            <w:r>
              <w:rPr>
                <w:rFonts w:hint="eastAsia"/>
                <w:bCs/>
                <w:color w:val="auto"/>
                <w:sz w:val="24"/>
                <w:szCs w:val="24"/>
                <w:lang w:val="en-US" w:eastAsia="zh-CN"/>
              </w:rPr>
              <w:t>6</w:t>
            </w:r>
            <w:r>
              <w:rPr>
                <w:bCs/>
                <w:color w:val="auto"/>
                <w:sz w:val="24"/>
                <w:szCs w:val="24"/>
              </w:rPr>
              <w:t>m</w:t>
            </w:r>
            <w:r>
              <w:rPr>
                <w:bCs/>
                <w:color w:val="auto"/>
                <w:sz w:val="24"/>
                <w:szCs w:val="24"/>
                <w:vertAlign w:val="superscript"/>
              </w:rPr>
              <w:t>3</w:t>
            </w:r>
            <w:r>
              <w:rPr>
                <w:bCs/>
                <w:color w:val="auto"/>
                <w:sz w:val="24"/>
                <w:szCs w:val="24"/>
              </w:rPr>
              <w:t>/d（</w:t>
            </w:r>
            <w:r>
              <w:rPr>
                <w:rFonts w:hint="eastAsia"/>
                <w:color w:val="auto"/>
                <w:sz w:val="24"/>
                <w:szCs w:val="24"/>
                <w:lang w:val="en-US" w:eastAsia="zh-CN"/>
              </w:rPr>
              <w:t>2190</w:t>
            </w:r>
            <w:r>
              <w:rPr>
                <w:bCs/>
                <w:color w:val="auto"/>
                <w:sz w:val="24"/>
                <w:szCs w:val="24"/>
              </w:rPr>
              <w:t>m</w:t>
            </w:r>
            <w:r>
              <w:rPr>
                <w:bCs/>
                <w:color w:val="auto"/>
                <w:sz w:val="24"/>
                <w:szCs w:val="24"/>
                <w:vertAlign w:val="superscript"/>
              </w:rPr>
              <w:t>3</w:t>
            </w:r>
            <w:r>
              <w:rPr>
                <w:bCs/>
                <w:color w:val="auto"/>
                <w:sz w:val="24"/>
                <w:szCs w:val="24"/>
              </w:rPr>
              <w:t>/a）</w:t>
            </w:r>
            <w:r>
              <w:rPr>
                <w:rFonts w:hint="eastAsia"/>
                <w:bCs/>
                <w:color w:val="auto"/>
                <w:sz w:val="24"/>
                <w:szCs w:val="24"/>
              </w:rPr>
              <w:t>。生活污水各污染物产生浓度取COD400mg/L、BOD</w:t>
            </w:r>
            <w:r>
              <w:rPr>
                <w:rFonts w:hint="eastAsia"/>
                <w:bCs/>
                <w:color w:val="auto"/>
                <w:sz w:val="24"/>
                <w:szCs w:val="24"/>
                <w:vertAlign w:val="subscript"/>
              </w:rPr>
              <w:t>5</w:t>
            </w:r>
            <w:r>
              <w:rPr>
                <w:rFonts w:hint="eastAsia"/>
                <w:bCs/>
                <w:color w:val="auto"/>
                <w:sz w:val="24"/>
                <w:szCs w:val="24"/>
              </w:rPr>
              <w:t xml:space="preserve"> 200mg/L、SS300mg/L、</w:t>
            </w:r>
            <w:r>
              <w:rPr>
                <w:rFonts w:hint="eastAsia"/>
                <w:snapToGrid w:val="0"/>
                <w:color w:val="auto"/>
                <w:sz w:val="24"/>
                <w:szCs w:val="24"/>
              </w:rPr>
              <w:t>NH</w:t>
            </w:r>
            <w:r>
              <w:rPr>
                <w:rFonts w:hint="eastAsia"/>
                <w:snapToGrid w:val="0"/>
                <w:color w:val="auto"/>
                <w:sz w:val="24"/>
                <w:szCs w:val="24"/>
                <w:vertAlign w:val="subscript"/>
              </w:rPr>
              <w:t>3</w:t>
            </w:r>
            <w:r>
              <w:rPr>
                <w:rFonts w:hint="eastAsia"/>
                <w:snapToGrid w:val="0"/>
                <w:color w:val="auto"/>
                <w:sz w:val="24"/>
                <w:szCs w:val="24"/>
              </w:rPr>
              <w:t>-N</w:t>
            </w:r>
            <w:r>
              <w:rPr>
                <w:rFonts w:hint="eastAsia"/>
                <w:bCs/>
                <w:color w:val="auto"/>
                <w:sz w:val="24"/>
                <w:szCs w:val="24"/>
              </w:rPr>
              <w:t>45mg/L、</w:t>
            </w:r>
            <w:r>
              <w:rPr>
                <w:rFonts w:hint="eastAsia"/>
                <w:color w:val="auto"/>
                <w:sz w:val="24"/>
                <w:szCs w:val="24"/>
              </w:rPr>
              <w:t>总磷6</w:t>
            </w:r>
            <w:r>
              <w:rPr>
                <w:color w:val="auto"/>
                <w:sz w:val="24"/>
                <w:szCs w:val="24"/>
              </w:rPr>
              <w:t>mg/L</w:t>
            </w:r>
            <w:r>
              <w:rPr>
                <w:rFonts w:hint="eastAsia"/>
                <w:color w:val="auto"/>
                <w:sz w:val="24"/>
                <w:szCs w:val="24"/>
              </w:rPr>
              <w:t>、总氮50</w:t>
            </w:r>
            <w:r>
              <w:rPr>
                <w:color w:val="auto"/>
                <w:sz w:val="24"/>
                <w:szCs w:val="24"/>
              </w:rPr>
              <w:t>mg/L</w:t>
            </w:r>
            <w:r>
              <w:rPr>
                <w:rFonts w:hint="eastAsia"/>
                <w:bCs/>
                <w:color w:val="auto"/>
                <w:sz w:val="24"/>
                <w:szCs w:val="24"/>
              </w:rPr>
              <w:t>。</w:t>
            </w:r>
          </w:p>
          <w:p>
            <w:pPr>
              <w:spacing w:line="360" w:lineRule="auto"/>
              <w:ind w:firstLine="480" w:firstLineChars="200"/>
              <w:rPr>
                <w:rFonts w:hint="default" w:eastAsia="宋体"/>
                <w:snapToGrid w:val="0"/>
                <w:color w:val="auto"/>
                <w:sz w:val="24"/>
                <w:szCs w:val="24"/>
                <w:vertAlign w:val="baseline"/>
                <w:lang w:val="en-US" w:eastAsia="zh-CN"/>
              </w:rPr>
            </w:pPr>
            <w:r>
              <w:rPr>
                <w:rFonts w:hint="eastAsia"/>
                <w:snapToGrid w:val="0"/>
                <w:color w:val="auto"/>
                <w:sz w:val="24"/>
                <w:szCs w:val="24"/>
                <w:lang w:val="en-US" w:eastAsia="zh-CN"/>
              </w:rPr>
              <w:t>项目运营期食堂会产生废水，产生量根据前文水平衡可知，为4.208</w:t>
            </w:r>
            <w:r>
              <w:rPr>
                <w:bCs/>
                <w:color w:val="auto"/>
                <w:sz w:val="24"/>
                <w:szCs w:val="24"/>
              </w:rPr>
              <w:t>m</w:t>
            </w:r>
            <w:r>
              <w:rPr>
                <w:bCs/>
                <w:color w:val="auto"/>
                <w:sz w:val="24"/>
                <w:szCs w:val="24"/>
                <w:vertAlign w:val="superscript"/>
              </w:rPr>
              <w:t>3</w:t>
            </w:r>
            <w:r>
              <w:rPr>
                <w:bCs/>
                <w:color w:val="auto"/>
                <w:sz w:val="24"/>
                <w:szCs w:val="24"/>
              </w:rPr>
              <w:t>/d（</w:t>
            </w:r>
            <w:r>
              <w:rPr>
                <w:rFonts w:hint="eastAsia"/>
                <w:bCs/>
                <w:color w:val="auto"/>
                <w:sz w:val="24"/>
                <w:szCs w:val="24"/>
                <w:lang w:val="en-US" w:eastAsia="zh-CN"/>
              </w:rPr>
              <w:t>1535.92</w:t>
            </w:r>
            <w:r>
              <w:rPr>
                <w:bCs/>
                <w:color w:val="auto"/>
                <w:sz w:val="24"/>
                <w:szCs w:val="24"/>
              </w:rPr>
              <w:t>m</w:t>
            </w:r>
            <w:r>
              <w:rPr>
                <w:bCs/>
                <w:color w:val="auto"/>
                <w:sz w:val="24"/>
                <w:szCs w:val="24"/>
                <w:vertAlign w:val="superscript"/>
              </w:rPr>
              <w:t>3</w:t>
            </w:r>
            <w:r>
              <w:rPr>
                <w:bCs/>
                <w:color w:val="auto"/>
                <w:sz w:val="24"/>
                <w:szCs w:val="24"/>
              </w:rPr>
              <w:t>/a）</w:t>
            </w:r>
            <w:r>
              <w:rPr>
                <w:rFonts w:hint="eastAsia"/>
                <w:bCs/>
                <w:color w:val="auto"/>
                <w:sz w:val="24"/>
                <w:szCs w:val="24"/>
                <w:lang w:eastAsia="zh-CN"/>
              </w:rPr>
              <w:t>。</w:t>
            </w:r>
            <w:r>
              <w:rPr>
                <w:rFonts w:hint="eastAsia"/>
                <w:bCs/>
                <w:color w:val="auto"/>
                <w:sz w:val="24"/>
                <w:szCs w:val="24"/>
                <w:lang w:val="en-US" w:eastAsia="zh-CN"/>
              </w:rPr>
              <w:t>食堂废水各污染物浓度参考《饮食业环境保护技术规范》（HJ544-2010）可知，饮食业单位含油污水水质为：化学需氧量800-1200mg/L、BOD</w:t>
            </w:r>
            <w:r>
              <w:rPr>
                <w:rFonts w:hint="eastAsia"/>
                <w:bCs/>
                <w:color w:val="auto"/>
                <w:sz w:val="24"/>
                <w:szCs w:val="24"/>
                <w:vertAlign w:val="subscript"/>
                <w:lang w:val="en-US" w:eastAsia="zh-CN"/>
              </w:rPr>
              <w:t>5</w:t>
            </w:r>
            <w:r>
              <w:rPr>
                <w:rFonts w:hint="eastAsia"/>
                <w:bCs/>
                <w:color w:val="auto"/>
                <w:sz w:val="24"/>
                <w:szCs w:val="24"/>
                <w:vertAlign w:val="baseline"/>
                <w:lang w:val="en-US" w:eastAsia="zh-CN"/>
              </w:rPr>
              <w:t>400-600mg/L、动植物油100-200mg/L、悬浮物300-500mg/L、阴离子表面活性剂0-10mg/L、氨氮0-20mg/L。本项目食堂废水污染物产生浓度取</w:t>
            </w:r>
            <w:r>
              <w:rPr>
                <w:rFonts w:hint="eastAsia"/>
                <w:bCs/>
                <w:color w:val="auto"/>
                <w:sz w:val="24"/>
                <w:szCs w:val="24"/>
                <w:lang w:val="en-US" w:eastAsia="zh-CN"/>
              </w:rPr>
              <w:t>化学需氧量1200mg/L、BOD</w:t>
            </w:r>
            <w:r>
              <w:rPr>
                <w:rFonts w:hint="eastAsia"/>
                <w:bCs/>
                <w:color w:val="auto"/>
                <w:sz w:val="24"/>
                <w:szCs w:val="24"/>
                <w:vertAlign w:val="subscript"/>
                <w:lang w:val="en-US" w:eastAsia="zh-CN"/>
              </w:rPr>
              <w:t>5</w:t>
            </w:r>
            <w:r>
              <w:rPr>
                <w:rFonts w:hint="eastAsia"/>
                <w:bCs/>
                <w:color w:val="auto"/>
                <w:sz w:val="24"/>
                <w:szCs w:val="24"/>
                <w:vertAlign w:val="baseline"/>
                <w:lang w:val="en-US" w:eastAsia="zh-CN"/>
              </w:rPr>
              <w:t>600mg/L、动植物油200mg/L、悬浮物500mg/L、阴离子表面活性剂10mg/L、氨氮20mg/L。</w:t>
            </w:r>
          </w:p>
          <w:p>
            <w:pPr>
              <w:spacing w:line="360" w:lineRule="auto"/>
              <w:ind w:firstLine="480" w:firstLineChars="200"/>
              <w:rPr>
                <w:snapToGrid w:val="0"/>
                <w:color w:val="auto"/>
                <w:sz w:val="24"/>
                <w:szCs w:val="24"/>
              </w:rPr>
            </w:pPr>
            <w:r>
              <w:rPr>
                <w:rFonts w:hint="eastAsia"/>
                <w:snapToGrid w:val="0"/>
                <w:color w:val="auto"/>
                <w:sz w:val="24"/>
                <w:szCs w:val="24"/>
              </w:rPr>
              <w:t>本项目患者诊疗及住院期间会产生医疗废水，</w:t>
            </w:r>
            <w:r>
              <w:rPr>
                <w:snapToGrid w:val="0"/>
                <w:color w:val="auto"/>
                <w:sz w:val="24"/>
                <w:szCs w:val="24"/>
              </w:rPr>
              <w:t>医疗废水</w:t>
            </w:r>
            <w:r>
              <w:rPr>
                <w:rFonts w:hint="eastAsia"/>
                <w:snapToGrid w:val="0"/>
                <w:color w:val="auto"/>
                <w:sz w:val="24"/>
                <w:szCs w:val="24"/>
              </w:rPr>
              <w:t>为</w:t>
            </w:r>
            <w:r>
              <w:rPr>
                <w:snapToGrid w:val="0"/>
                <w:color w:val="auto"/>
                <w:sz w:val="24"/>
                <w:szCs w:val="24"/>
              </w:rPr>
              <w:t>医院门诊、</w:t>
            </w:r>
            <w:r>
              <w:rPr>
                <w:rFonts w:hint="eastAsia"/>
                <w:snapToGrid w:val="0"/>
                <w:color w:val="auto"/>
                <w:sz w:val="24"/>
                <w:szCs w:val="24"/>
              </w:rPr>
              <w:t>住院病房、</w:t>
            </w:r>
            <w:r>
              <w:rPr>
                <w:snapToGrid w:val="0"/>
                <w:color w:val="auto"/>
                <w:sz w:val="24"/>
                <w:szCs w:val="24"/>
              </w:rPr>
              <w:t>各类检验室等排出的诊疗污水。本项目医疗废水特征如下：</w:t>
            </w:r>
          </w:p>
          <w:p>
            <w:pPr>
              <w:spacing w:line="360" w:lineRule="auto"/>
              <w:ind w:firstLine="480" w:firstLineChars="200"/>
              <w:rPr>
                <w:snapToGrid w:val="0"/>
                <w:color w:val="auto"/>
                <w:sz w:val="24"/>
                <w:szCs w:val="24"/>
              </w:rPr>
            </w:pPr>
            <w:r>
              <w:rPr>
                <w:rFonts w:hint="eastAsia"/>
                <w:snapToGrid w:val="0"/>
                <w:color w:val="auto"/>
                <w:sz w:val="24"/>
                <w:szCs w:val="24"/>
              </w:rPr>
              <w:t>a、</w:t>
            </w:r>
            <w:r>
              <w:rPr>
                <w:snapToGrid w:val="0"/>
                <w:color w:val="auto"/>
                <w:sz w:val="24"/>
                <w:szCs w:val="24"/>
              </w:rPr>
              <w:t>医院采用电脑洗相，不使用显影液、定影液等溶剂，因此不产生洗片废液；</w:t>
            </w:r>
          </w:p>
          <w:p>
            <w:pPr>
              <w:spacing w:line="360" w:lineRule="auto"/>
              <w:ind w:firstLine="480" w:firstLineChars="200"/>
              <w:rPr>
                <w:snapToGrid w:val="0"/>
                <w:color w:val="auto"/>
                <w:sz w:val="24"/>
                <w:szCs w:val="24"/>
              </w:rPr>
            </w:pPr>
            <w:r>
              <w:rPr>
                <w:snapToGrid w:val="0"/>
                <w:color w:val="auto"/>
                <w:sz w:val="24"/>
                <w:szCs w:val="24"/>
              </w:rPr>
              <w:t>b、项目不设置感染科，无感染性废水；</w:t>
            </w:r>
          </w:p>
          <w:p>
            <w:pPr>
              <w:spacing w:line="360" w:lineRule="auto"/>
              <w:ind w:firstLine="480" w:firstLineChars="200"/>
              <w:rPr>
                <w:snapToGrid w:val="0"/>
                <w:color w:val="auto"/>
                <w:sz w:val="24"/>
                <w:szCs w:val="24"/>
              </w:rPr>
            </w:pPr>
            <w:r>
              <w:rPr>
                <w:snapToGrid w:val="0"/>
                <w:color w:val="auto"/>
                <w:sz w:val="24"/>
                <w:szCs w:val="24"/>
              </w:rPr>
              <w:t>c、检验室废水：医院检验科采用全自动生化分析仪等仪器配合试剂带、试剂盒及生物酶试剂等成品进行血、尿、粪的化验，不采用手工配置含氰、铬、酸试剂的方法化验，使用后的检验样品（如血液等）、酶试剂及试剂盒等均作为医疗废物处置，不产生含氰、含铬、酸性废水。</w:t>
            </w:r>
          </w:p>
          <w:p>
            <w:pPr>
              <w:spacing w:line="360" w:lineRule="auto"/>
              <w:ind w:firstLine="480" w:firstLineChars="200"/>
              <w:rPr>
                <w:rFonts w:hint="eastAsia" w:eastAsia="宋体"/>
                <w:color w:val="auto"/>
                <w:sz w:val="24"/>
                <w:szCs w:val="24"/>
                <w:lang w:val="en-US" w:eastAsia="zh-CN"/>
              </w:rPr>
            </w:pPr>
            <w:r>
              <w:rPr>
                <w:rFonts w:hint="eastAsia"/>
                <w:snapToGrid w:val="0"/>
                <w:color w:val="auto"/>
                <w:sz w:val="24"/>
                <w:szCs w:val="24"/>
              </w:rPr>
              <w:t>根据前文分析，</w:t>
            </w:r>
            <w:r>
              <w:rPr>
                <w:snapToGrid w:val="0"/>
                <w:color w:val="auto"/>
                <w:sz w:val="24"/>
                <w:szCs w:val="24"/>
              </w:rPr>
              <w:t>医疗废水</w:t>
            </w:r>
            <w:r>
              <w:rPr>
                <w:rFonts w:hint="eastAsia"/>
                <w:bCs/>
                <w:color w:val="auto"/>
                <w:sz w:val="24"/>
                <w:szCs w:val="24"/>
              </w:rPr>
              <w:t>排放量为</w:t>
            </w:r>
            <w:r>
              <w:rPr>
                <w:rFonts w:hint="eastAsia"/>
                <w:bCs/>
                <w:color w:val="auto"/>
                <w:sz w:val="24"/>
                <w:szCs w:val="24"/>
                <w:lang w:val="en-US" w:eastAsia="zh-CN"/>
              </w:rPr>
              <w:t>29.76</w:t>
            </w:r>
            <w:r>
              <w:rPr>
                <w:bCs/>
                <w:color w:val="auto"/>
                <w:sz w:val="24"/>
                <w:szCs w:val="24"/>
              </w:rPr>
              <w:t>m</w:t>
            </w:r>
            <w:r>
              <w:rPr>
                <w:bCs/>
                <w:color w:val="auto"/>
                <w:sz w:val="24"/>
                <w:szCs w:val="24"/>
                <w:vertAlign w:val="superscript"/>
              </w:rPr>
              <w:t>3</w:t>
            </w:r>
            <w:r>
              <w:rPr>
                <w:bCs/>
                <w:color w:val="auto"/>
                <w:sz w:val="24"/>
                <w:szCs w:val="24"/>
              </w:rPr>
              <w:t>/d（</w:t>
            </w:r>
            <w:r>
              <w:rPr>
                <w:rFonts w:hint="eastAsia"/>
                <w:color w:val="auto"/>
                <w:sz w:val="24"/>
                <w:szCs w:val="24"/>
                <w:lang w:val="en-US" w:eastAsia="zh-CN"/>
              </w:rPr>
              <w:t>10862.4</w:t>
            </w:r>
            <w:r>
              <w:rPr>
                <w:bCs/>
                <w:color w:val="auto"/>
                <w:sz w:val="24"/>
                <w:szCs w:val="24"/>
              </w:rPr>
              <w:t>m</w:t>
            </w:r>
            <w:r>
              <w:rPr>
                <w:bCs/>
                <w:color w:val="auto"/>
                <w:sz w:val="24"/>
                <w:szCs w:val="24"/>
                <w:vertAlign w:val="superscript"/>
              </w:rPr>
              <w:t>3</w:t>
            </w:r>
            <w:r>
              <w:rPr>
                <w:bCs/>
                <w:color w:val="auto"/>
                <w:sz w:val="24"/>
                <w:szCs w:val="24"/>
              </w:rPr>
              <w:t>/a）</w:t>
            </w:r>
            <w:r>
              <w:rPr>
                <w:rFonts w:hint="eastAsia"/>
                <w:bCs/>
                <w:color w:val="auto"/>
                <w:sz w:val="24"/>
                <w:szCs w:val="24"/>
              </w:rPr>
              <w:t>。</w:t>
            </w:r>
            <w:r>
              <w:rPr>
                <w:snapToGrid w:val="0"/>
                <w:color w:val="auto"/>
                <w:sz w:val="24"/>
                <w:szCs w:val="24"/>
              </w:rPr>
              <w:t>医疗废水</w:t>
            </w:r>
            <w:r>
              <w:rPr>
                <w:color w:val="auto"/>
                <w:sz w:val="24"/>
                <w:szCs w:val="24"/>
              </w:rPr>
              <w:t>参考《</w:t>
            </w:r>
            <w:r>
              <w:rPr>
                <w:rFonts w:hint="eastAsia"/>
                <w:color w:val="auto"/>
                <w:sz w:val="24"/>
                <w:szCs w:val="24"/>
              </w:rPr>
              <w:t>医院污水处理工程技术规范</w:t>
            </w:r>
            <w:r>
              <w:rPr>
                <w:color w:val="auto"/>
                <w:sz w:val="24"/>
                <w:szCs w:val="24"/>
              </w:rPr>
              <w:t>》（HJ2029-2013）推荐指标范围</w:t>
            </w:r>
            <w:r>
              <w:rPr>
                <w:rFonts w:hint="eastAsia"/>
                <w:color w:val="auto"/>
                <w:sz w:val="24"/>
                <w:szCs w:val="24"/>
                <w:lang w:val="en-US" w:eastAsia="zh-CN"/>
              </w:rPr>
              <w:t>并类比</w:t>
            </w:r>
            <w:r>
              <w:rPr>
                <w:rFonts w:hint="eastAsia"/>
                <w:color w:val="auto"/>
                <w:sz w:val="24"/>
                <w:szCs w:val="24"/>
              </w:rPr>
              <w:t>同类型项目</w:t>
            </w:r>
            <w:r>
              <w:rPr>
                <w:color w:val="auto"/>
                <w:sz w:val="24"/>
                <w:szCs w:val="24"/>
              </w:rPr>
              <w:t>中的</w:t>
            </w:r>
            <w:r>
              <w:rPr>
                <w:rFonts w:hint="eastAsia"/>
                <w:color w:val="auto"/>
                <w:sz w:val="24"/>
                <w:szCs w:val="24"/>
                <w:lang w:val="en-US" w:eastAsia="zh-CN"/>
              </w:rPr>
              <w:t>验收数据</w:t>
            </w:r>
            <w:r>
              <w:rPr>
                <w:color w:val="auto"/>
                <w:sz w:val="24"/>
                <w:szCs w:val="24"/>
              </w:rPr>
              <w:t>：“</w:t>
            </w:r>
            <w:r>
              <w:rPr>
                <w:rFonts w:hint="eastAsia"/>
                <w:color w:val="auto"/>
                <w:sz w:val="24"/>
                <w:szCs w:val="24"/>
              </w:rPr>
              <w:t>COD</w:t>
            </w:r>
            <w:r>
              <w:rPr>
                <w:color w:val="auto"/>
                <w:sz w:val="24"/>
                <w:szCs w:val="24"/>
              </w:rPr>
              <w:t>150~300mg/L、BOD</w:t>
            </w:r>
            <w:r>
              <w:rPr>
                <w:color w:val="auto"/>
                <w:sz w:val="24"/>
                <w:szCs w:val="24"/>
                <w:vertAlign w:val="subscript"/>
              </w:rPr>
              <w:t>5</w:t>
            </w:r>
            <w:r>
              <w:rPr>
                <w:color w:val="auto"/>
                <w:sz w:val="24"/>
                <w:szCs w:val="24"/>
              </w:rPr>
              <w:t>80~150mg/L、SS40~120mg/L、NH</w:t>
            </w:r>
            <w:r>
              <w:rPr>
                <w:color w:val="auto"/>
                <w:sz w:val="24"/>
                <w:szCs w:val="24"/>
                <w:vertAlign w:val="subscript"/>
              </w:rPr>
              <w:t>3</w:t>
            </w:r>
            <w:r>
              <w:rPr>
                <w:color w:val="auto"/>
                <w:sz w:val="24"/>
                <w:szCs w:val="24"/>
              </w:rPr>
              <w:t>-N10~50mg/L、粪大肠菌</w:t>
            </w:r>
            <w:r>
              <w:rPr>
                <w:rFonts w:hint="eastAsia"/>
                <w:color w:val="auto"/>
                <w:sz w:val="24"/>
                <w:szCs w:val="24"/>
              </w:rPr>
              <w:t>群</w:t>
            </w:r>
            <w:r>
              <w:rPr>
                <w:color w:val="auto"/>
                <w:sz w:val="24"/>
                <w:szCs w:val="24"/>
              </w:rPr>
              <w:t>1.0×10</w:t>
            </w:r>
            <w:r>
              <w:rPr>
                <w:color w:val="auto"/>
                <w:sz w:val="24"/>
                <w:szCs w:val="24"/>
                <w:vertAlign w:val="superscript"/>
              </w:rPr>
              <w:t>6</w:t>
            </w:r>
            <w:r>
              <w:rPr>
                <w:color w:val="auto"/>
                <w:sz w:val="24"/>
                <w:szCs w:val="24"/>
              </w:rPr>
              <w:t>~3.0×10</w:t>
            </w:r>
            <w:r>
              <w:rPr>
                <w:color w:val="auto"/>
                <w:sz w:val="24"/>
                <w:szCs w:val="24"/>
                <w:vertAlign w:val="superscript"/>
              </w:rPr>
              <w:t>8</w:t>
            </w:r>
            <w:r>
              <w:rPr>
                <w:color w:val="auto"/>
                <w:sz w:val="24"/>
                <w:szCs w:val="24"/>
              </w:rPr>
              <w:t>个/L</w:t>
            </w:r>
            <w:r>
              <w:rPr>
                <w:rFonts w:hint="eastAsia"/>
                <w:color w:val="auto"/>
                <w:sz w:val="24"/>
                <w:szCs w:val="24"/>
                <w:lang w:eastAsia="zh-CN"/>
              </w:rPr>
              <w:t>、</w:t>
            </w:r>
            <w:r>
              <w:rPr>
                <w:rFonts w:hint="eastAsia"/>
                <w:color w:val="auto"/>
                <w:sz w:val="24"/>
                <w:szCs w:val="24"/>
              </w:rPr>
              <w:t>总磷5</w:t>
            </w:r>
            <w:r>
              <w:rPr>
                <w:color w:val="auto"/>
                <w:sz w:val="24"/>
                <w:szCs w:val="24"/>
              </w:rPr>
              <w:t>mg/L</w:t>
            </w:r>
            <w:r>
              <w:rPr>
                <w:rFonts w:hint="eastAsia"/>
                <w:color w:val="auto"/>
                <w:sz w:val="24"/>
                <w:szCs w:val="24"/>
              </w:rPr>
              <w:t>、总氮</w:t>
            </w:r>
            <w:r>
              <w:rPr>
                <w:color w:val="auto"/>
                <w:sz w:val="24"/>
                <w:szCs w:val="24"/>
              </w:rPr>
              <w:t>40mg/L”，本项目医疗废水产生浓度取</w:t>
            </w:r>
            <w:r>
              <w:rPr>
                <w:rFonts w:hint="eastAsia"/>
                <w:color w:val="auto"/>
                <w:sz w:val="24"/>
                <w:szCs w:val="24"/>
              </w:rPr>
              <w:t>COD</w:t>
            </w:r>
            <w:r>
              <w:rPr>
                <w:rFonts w:hint="eastAsia"/>
                <w:color w:val="auto"/>
                <w:sz w:val="24"/>
                <w:szCs w:val="24"/>
                <w:lang w:val="en-US" w:eastAsia="zh-CN"/>
              </w:rPr>
              <w:t>300</w:t>
            </w:r>
            <w:r>
              <w:rPr>
                <w:color w:val="auto"/>
                <w:sz w:val="24"/>
                <w:szCs w:val="24"/>
              </w:rPr>
              <w:t>mg/L、BOD</w:t>
            </w:r>
            <w:r>
              <w:rPr>
                <w:color w:val="auto"/>
                <w:sz w:val="24"/>
                <w:szCs w:val="24"/>
                <w:vertAlign w:val="subscript"/>
              </w:rPr>
              <w:t>5</w:t>
            </w:r>
            <w:r>
              <w:rPr>
                <w:rFonts w:hint="eastAsia"/>
                <w:color w:val="auto"/>
                <w:sz w:val="24"/>
                <w:szCs w:val="24"/>
                <w:lang w:val="en-US" w:eastAsia="zh-CN"/>
              </w:rPr>
              <w:t>150</w:t>
            </w:r>
            <w:r>
              <w:rPr>
                <w:color w:val="auto"/>
                <w:sz w:val="24"/>
                <w:szCs w:val="24"/>
              </w:rPr>
              <w:t>mg/L、SS1</w:t>
            </w:r>
            <w:r>
              <w:rPr>
                <w:rFonts w:hint="eastAsia"/>
                <w:color w:val="auto"/>
                <w:sz w:val="24"/>
                <w:szCs w:val="24"/>
                <w:lang w:val="en-US" w:eastAsia="zh-CN"/>
              </w:rPr>
              <w:t>2</w:t>
            </w:r>
            <w:r>
              <w:rPr>
                <w:color w:val="auto"/>
                <w:sz w:val="24"/>
                <w:szCs w:val="24"/>
              </w:rPr>
              <w:t>0mg/L、NH</w:t>
            </w:r>
            <w:r>
              <w:rPr>
                <w:color w:val="auto"/>
                <w:sz w:val="24"/>
                <w:szCs w:val="24"/>
                <w:vertAlign w:val="subscript"/>
              </w:rPr>
              <w:t>3</w:t>
            </w:r>
            <w:r>
              <w:rPr>
                <w:color w:val="auto"/>
                <w:sz w:val="24"/>
                <w:szCs w:val="24"/>
              </w:rPr>
              <w:t>-N</w:t>
            </w:r>
            <w:r>
              <w:rPr>
                <w:rFonts w:hint="eastAsia"/>
                <w:color w:val="auto"/>
                <w:sz w:val="24"/>
                <w:szCs w:val="24"/>
                <w:lang w:val="en-US" w:eastAsia="zh-CN"/>
              </w:rPr>
              <w:t>35</w:t>
            </w:r>
            <w:r>
              <w:rPr>
                <w:color w:val="auto"/>
                <w:sz w:val="24"/>
                <w:szCs w:val="24"/>
              </w:rPr>
              <w:t>mg/L、</w:t>
            </w:r>
            <w:r>
              <w:rPr>
                <w:rFonts w:hint="eastAsia"/>
                <w:color w:val="auto"/>
                <w:sz w:val="24"/>
                <w:szCs w:val="24"/>
              </w:rPr>
              <w:t>总磷5</w:t>
            </w:r>
            <w:r>
              <w:rPr>
                <w:color w:val="auto"/>
                <w:sz w:val="24"/>
                <w:szCs w:val="24"/>
              </w:rPr>
              <w:t>mg/L</w:t>
            </w:r>
            <w:r>
              <w:rPr>
                <w:rFonts w:hint="eastAsia"/>
                <w:color w:val="auto"/>
                <w:sz w:val="24"/>
                <w:szCs w:val="24"/>
              </w:rPr>
              <w:t>、总氮</w:t>
            </w:r>
            <w:r>
              <w:rPr>
                <w:color w:val="auto"/>
                <w:sz w:val="24"/>
                <w:szCs w:val="24"/>
              </w:rPr>
              <w:t>40mg/L</w:t>
            </w:r>
            <w:r>
              <w:rPr>
                <w:rFonts w:hint="eastAsia"/>
                <w:color w:val="auto"/>
                <w:sz w:val="24"/>
                <w:szCs w:val="24"/>
              </w:rPr>
              <w:t>、</w:t>
            </w:r>
            <w:r>
              <w:rPr>
                <w:color w:val="auto"/>
                <w:sz w:val="24"/>
                <w:szCs w:val="24"/>
              </w:rPr>
              <w:t>粪大肠菌</w:t>
            </w:r>
            <w:r>
              <w:rPr>
                <w:rFonts w:hint="eastAsia"/>
                <w:color w:val="auto"/>
                <w:sz w:val="24"/>
                <w:szCs w:val="24"/>
              </w:rPr>
              <w:t>群</w:t>
            </w:r>
            <w:r>
              <w:rPr>
                <w:rFonts w:hint="eastAsia"/>
                <w:color w:val="auto"/>
                <w:sz w:val="24"/>
                <w:szCs w:val="24"/>
                <w:lang w:val="en-US" w:eastAsia="zh-CN"/>
              </w:rPr>
              <w:t>1</w:t>
            </w:r>
            <w:r>
              <w:rPr>
                <w:color w:val="auto"/>
                <w:sz w:val="24"/>
                <w:szCs w:val="24"/>
              </w:rPr>
              <w:t>.</w:t>
            </w:r>
            <w:r>
              <w:rPr>
                <w:rFonts w:hint="eastAsia"/>
                <w:color w:val="auto"/>
                <w:sz w:val="24"/>
                <w:szCs w:val="24"/>
                <w:lang w:val="en-US" w:eastAsia="zh-CN"/>
              </w:rPr>
              <w:t>5</w:t>
            </w:r>
            <w:r>
              <w:rPr>
                <w:color w:val="auto"/>
                <w:sz w:val="24"/>
                <w:szCs w:val="24"/>
              </w:rPr>
              <w:t>×10</w:t>
            </w:r>
            <w:r>
              <w:rPr>
                <w:rFonts w:hint="eastAsia"/>
                <w:color w:val="auto"/>
                <w:sz w:val="24"/>
                <w:szCs w:val="24"/>
                <w:vertAlign w:val="superscript"/>
                <w:lang w:val="en-US" w:eastAsia="zh-CN"/>
              </w:rPr>
              <w:t>7</w:t>
            </w:r>
            <w:r>
              <w:rPr>
                <w:color w:val="auto"/>
                <w:sz w:val="24"/>
                <w:szCs w:val="24"/>
              </w:rPr>
              <w:t>个/L</w:t>
            </w:r>
            <w:r>
              <w:rPr>
                <w:rFonts w:hint="eastAsia"/>
                <w:color w:val="auto"/>
                <w:sz w:val="24"/>
                <w:szCs w:val="24"/>
                <w:lang w:eastAsia="zh-CN"/>
              </w:rPr>
              <w:t>（</w:t>
            </w:r>
            <w:r>
              <w:rPr>
                <w:rFonts w:hint="eastAsia"/>
                <w:color w:val="auto"/>
                <w:sz w:val="24"/>
                <w:szCs w:val="24"/>
                <w:lang w:val="en-US" w:eastAsia="zh-CN"/>
              </w:rPr>
              <w:t>本项目为康护医院，粪大肠杆菌群数较低，取中间值</w:t>
            </w:r>
            <w:r>
              <w:rPr>
                <w:rFonts w:hint="eastAsia"/>
                <w:color w:val="auto"/>
                <w:sz w:val="24"/>
                <w:szCs w:val="24"/>
                <w:lang w:eastAsia="zh-CN"/>
              </w:rPr>
              <w:t>）</w:t>
            </w:r>
            <w:r>
              <w:rPr>
                <w:color w:val="auto"/>
                <w:sz w:val="24"/>
                <w:szCs w:val="24"/>
              </w:rPr>
              <w:t>。</w:t>
            </w:r>
          </w:p>
          <w:p>
            <w:pPr>
              <w:spacing w:line="360" w:lineRule="auto"/>
              <w:ind w:firstLine="480" w:firstLineChars="200"/>
              <w:rPr>
                <w:rFonts w:hint="eastAsia"/>
                <w:color w:val="auto"/>
                <w:sz w:val="24"/>
                <w:szCs w:val="24"/>
              </w:rPr>
            </w:pPr>
            <w:r>
              <w:rPr>
                <w:color w:val="auto"/>
                <w:sz w:val="24"/>
                <w:szCs w:val="24"/>
              </w:rPr>
              <w:t>本项目废水污染物情况见下表</w:t>
            </w:r>
            <w:r>
              <w:rPr>
                <w:rFonts w:hint="eastAsia"/>
                <w:color w:val="auto"/>
                <w:sz w:val="24"/>
                <w:szCs w:val="24"/>
              </w:rPr>
              <w:t>：</w:t>
            </w:r>
          </w:p>
          <w:p>
            <w:pPr>
              <w:adjustRightInd w:val="0"/>
              <w:spacing w:line="360" w:lineRule="auto"/>
              <w:jc w:val="center"/>
              <w:rPr>
                <w:b/>
                <w:color w:val="auto"/>
                <w:szCs w:val="21"/>
              </w:rPr>
            </w:pPr>
          </w:p>
          <w:p>
            <w:pPr>
              <w:adjustRightInd w:val="0"/>
              <w:spacing w:line="360" w:lineRule="auto"/>
              <w:jc w:val="center"/>
              <w:rPr>
                <w:b/>
                <w:color w:val="auto"/>
                <w:szCs w:val="21"/>
              </w:rPr>
            </w:pPr>
          </w:p>
          <w:p>
            <w:pPr>
              <w:adjustRightInd w:val="0"/>
              <w:spacing w:line="360" w:lineRule="auto"/>
              <w:jc w:val="center"/>
              <w:rPr>
                <w:b/>
                <w:color w:val="auto"/>
                <w:szCs w:val="21"/>
              </w:rPr>
            </w:pPr>
            <w:r>
              <w:rPr>
                <w:b/>
                <w:color w:val="auto"/>
                <w:szCs w:val="21"/>
              </w:rPr>
              <w:t>表</w:t>
            </w:r>
            <w:r>
              <w:rPr>
                <w:rFonts w:hint="eastAsia"/>
                <w:b/>
                <w:color w:val="auto"/>
                <w:szCs w:val="21"/>
              </w:rPr>
              <w:t>4-</w:t>
            </w:r>
            <w:r>
              <w:rPr>
                <w:rFonts w:hint="eastAsia"/>
                <w:b/>
                <w:color w:val="auto"/>
                <w:szCs w:val="21"/>
                <w:lang w:val="en-US" w:eastAsia="zh-CN"/>
              </w:rPr>
              <w:t>4</w:t>
            </w:r>
            <w:r>
              <w:rPr>
                <w:b/>
                <w:color w:val="auto"/>
                <w:szCs w:val="21"/>
              </w:rPr>
              <w:t xml:space="preserve">   水污染物情况一览表</w:t>
            </w:r>
          </w:p>
          <w:tbl>
            <w:tblPr>
              <w:tblStyle w:val="2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044"/>
              <w:gridCol w:w="802"/>
              <w:gridCol w:w="802"/>
              <w:gridCol w:w="802"/>
              <w:gridCol w:w="821"/>
              <w:gridCol w:w="802"/>
              <w:gridCol w:w="661"/>
              <w:gridCol w:w="945"/>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560" w:type="pct"/>
                  <w:noWrap w:val="0"/>
                  <w:vAlign w:val="center"/>
                </w:tcPr>
                <w:p>
                  <w:pPr>
                    <w:jc w:val="center"/>
                    <w:rPr>
                      <w:b/>
                      <w:bCs/>
                      <w:color w:val="auto"/>
                      <w:szCs w:val="21"/>
                      <w:lang w:val="en-GB"/>
                    </w:rPr>
                  </w:pPr>
                  <w:r>
                    <w:rPr>
                      <w:b/>
                      <w:bCs/>
                      <w:color w:val="auto"/>
                      <w:szCs w:val="21"/>
                    </w:rPr>
                    <w:t>项目</w:t>
                  </w:r>
                </w:p>
              </w:tc>
              <w:tc>
                <w:tcPr>
                  <w:tcW w:w="601" w:type="pct"/>
                  <w:noWrap w:val="0"/>
                  <w:vAlign w:val="center"/>
                </w:tcPr>
                <w:p>
                  <w:pPr>
                    <w:jc w:val="center"/>
                    <w:rPr>
                      <w:b/>
                      <w:bCs/>
                      <w:color w:val="auto"/>
                      <w:szCs w:val="21"/>
                    </w:rPr>
                  </w:pPr>
                  <w:r>
                    <w:rPr>
                      <w:b/>
                      <w:bCs/>
                      <w:color w:val="auto"/>
                      <w:szCs w:val="21"/>
                    </w:rPr>
                    <w:t>水量（m</w:t>
                  </w:r>
                  <w:r>
                    <w:rPr>
                      <w:b/>
                      <w:bCs/>
                      <w:color w:val="auto"/>
                      <w:szCs w:val="21"/>
                      <w:vertAlign w:val="superscript"/>
                    </w:rPr>
                    <w:t>3</w:t>
                  </w:r>
                  <w:r>
                    <w:rPr>
                      <w:b/>
                      <w:bCs/>
                      <w:color w:val="auto"/>
                      <w:szCs w:val="21"/>
                    </w:rPr>
                    <w:t>/a）</w:t>
                  </w:r>
                </w:p>
              </w:tc>
              <w:tc>
                <w:tcPr>
                  <w:tcW w:w="475" w:type="pct"/>
                  <w:noWrap w:val="0"/>
                  <w:vAlign w:val="center"/>
                </w:tcPr>
                <w:p>
                  <w:pPr>
                    <w:jc w:val="center"/>
                    <w:rPr>
                      <w:b/>
                      <w:bCs/>
                      <w:color w:val="auto"/>
                      <w:szCs w:val="21"/>
                    </w:rPr>
                  </w:pPr>
                  <w:r>
                    <w:rPr>
                      <w:b/>
                      <w:bCs/>
                      <w:color w:val="auto"/>
                      <w:szCs w:val="21"/>
                    </w:rPr>
                    <w:t>COD</w:t>
                  </w:r>
                </w:p>
              </w:tc>
              <w:tc>
                <w:tcPr>
                  <w:tcW w:w="475" w:type="pct"/>
                  <w:noWrap w:val="0"/>
                  <w:vAlign w:val="center"/>
                </w:tcPr>
                <w:p>
                  <w:pPr>
                    <w:jc w:val="center"/>
                    <w:rPr>
                      <w:b/>
                      <w:bCs/>
                      <w:color w:val="auto"/>
                      <w:szCs w:val="21"/>
                    </w:rPr>
                  </w:pPr>
                  <w:r>
                    <w:rPr>
                      <w:b/>
                      <w:bCs/>
                      <w:color w:val="auto"/>
                      <w:szCs w:val="21"/>
                    </w:rPr>
                    <w:t>BOD</w:t>
                  </w:r>
                  <w:r>
                    <w:rPr>
                      <w:b/>
                      <w:bCs/>
                      <w:color w:val="auto"/>
                      <w:szCs w:val="21"/>
                      <w:vertAlign w:val="subscript"/>
                    </w:rPr>
                    <w:t>5</w:t>
                  </w:r>
                </w:p>
              </w:tc>
              <w:tc>
                <w:tcPr>
                  <w:tcW w:w="475" w:type="pct"/>
                  <w:noWrap w:val="0"/>
                  <w:vAlign w:val="center"/>
                </w:tcPr>
                <w:p>
                  <w:pPr>
                    <w:jc w:val="center"/>
                    <w:rPr>
                      <w:b/>
                      <w:bCs/>
                      <w:color w:val="auto"/>
                      <w:szCs w:val="21"/>
                    </w:rPr>
                  </w:pPr>
                  <w:r>
                    <w:rPr>
                      <w:b/>
                      <w:bCs/>
                      <w:color w:val="auto"/>
                      <w:szCs w:val="21"/>
                    </w:rPr>
                    <w:t>SS</w:t>
                  </w:r>
                </w:p>
              </w:tc>
              <w:tc>
                <w:tcPr>
                  <w:tcW w:w="475" w:type="pct"/>
                  <w:noWrap w:val="0"/>
                  <w:vAlign w:val="center"/>
                </w:tcPr>
                <w:p>
                  <w:pPr>
                    <w:jc w:val="center"/>
                    <w:rPr>
                      <w:b/>
                      <w:bCs/>
                      <w:color w:val="auto"/>
                      <w:szCs w:val="21"/>
                    </w:rPr>
                  </w:pPr>
                  <w:r>
                    <w:rPr>
                      <w:b/>
                      <w:bCs/>
                      <w:color w:val="auto"/>
                      <w:szCs w:val="21"/>
                    </w:rPr>
                    <w:t>NH</w:t>
                  </w:r>
                  <w:r>
                    <w:rPr>
                      <w:b/>
                      <w:bCs/>
                      <w:color w:val="auto"/>
                      <w:szCs w:val="21"/>
                      <w:vertAlign w:val="subscript"/>
                    </w:rPr>
                    <w:t>3</w:t>
                  </w:r>
                  <w:r>
                    <w:rPr>
                      <w:b/>
                      <w:bCs/>
                      <w:color w:val="auto"/>
                      <w:szCs w:val="21"/>
                    </w:rPr>
                    <w:t>-N</w:t>
                  </w:r>
                </w:p>
              </w:tc>
              <w:tc>
                <w:tcPr>
                  <w:tcW w:w="475" w:type="pct"/>
                  <w:noWrap w:val="0"/>
                  <w:vAlign w:val="center"/>
                </w:tcPr>
                <w:p>
                  <w:pPr>
                    <w:jc w:val="center"/>
                    <w:rPr>
                      <w:rFonts w:hint="eastAsia"/>
                      <w:b/>
                      <w:bCs/>
                      <w:color w:val="auto"/>
                      <w:szCs w:val="21"/>
                    </w:rPr>
                  </w:pPr>
                  <w:r>
                    <w:rPr>
                      <w:rFonts w:hint="eastAsia"/>
                      <w:b/>
                      <w:bCs/>
                      <w:color w:val="auto"/>
                      <w:szCs w:val="21"/>
                    </w:rPr>
                    <w:t>总磷</w:t>
                  </w:r>
                </w:p>
              </w:tc>
              <w:tc>
                <w:tcPr>
                  <w:tcW w:w="392" w:type="pct"/>
                  <w:noWrap w:val="0"/>
                  <w:vAlign w:val="center"/>
                </w:tcPr>
                <w:p>
                  <w:pPr>
                    <w:jc w:val="center"/>
                    <w:rPr>
                      <w:rFonts w:hint="eastAsia"/>
                      <w:b/>
                      <w:bCs/>
                      <w:color w:val="auto"/>
                      <w:szCs w:val="21"/>
                    </w:rPr>
                  </w:pPr>
                  <w:r>
                    <w:rPr>
                      <w:rFonts w:hint="eastAsia"/>
                      <w:b/>
                      <w:bCs/>
                      <w:color w:val="auto"/>
                      <w:szCs w:val="21"/>
                    </w:rPr>
                    <w:t>总氮</w:t>
                  </w:r>
                </w:p>
              </w:tc>
              <w:tc>
                <w:tcPr>
                  <w:tcW w:w="559" w:type="pct"/>
                  <w:noWrap w:val="0"/>
                  <w:vAlign w:val="center"/>
                </w:tcPr>
                <w:p>
                  <w:pPr>
                    <w:jc w:val="center"/>
                    <w:rPr>
                      <w:b/>
                      <w:bCs/>
                      <w:color w:val="auto"/>
                      <w:szCs w:val="21"/>
                    </w:rPr>
                  </w:pPr>
                  <w:r>
                    <w:rPr>
                      <w:b/>
                      <w:bCs/>
                      <w:color w:val="auto"/>
                      <w:szCs w:val="21"/>
                    </w:rPr>
                    <w:t>粪大肠菌</w:t>
                  </w:r>
                  <w:r>
                    <w:rPr>
                      <w:rFonts w:hint="eastAsia"/>
                      <w:b/>
                      <w:bCs/>
                      <w:color w:val="auto"/>
                      <w:szCs w:val="21"/>
                    </w:rPr>
                    <w:t>群</w:t>
                  </w:r>
                  <w:r>
                    <w:rPr>
                      <w:b/>
                      <w:bCs/>
                      <w:color w:val="auto"/>
                      <w:szCs w:val="21"/>
                    </w:rPr>
                    <w:t>（个/L）</w:t>
                  </w:r>
                </w:p>
              </w:tc>
              <w:tc>
                <w:tcPr>
                  <w:tcW w:w="509" w:type="pct"/>
                  <w:noWrap w:val="0"/>
                  <w:vAlign w:val="center"/>
                </w:tcPr>
                <w:p>
                  <w:pPr>
                    <w:jc w:val="center"/>
                    <w:rPr>
                      <w:rFonts w:hint="eastAsia" w:eastAsia="宋体"/>
                      <w:b/>
                      <w:bCs/>
                      <w:color w:val="auto"/>
                      <w:szCs w:val="21"/>
                      <w:lang w:val="en-US" w:eastAsia="zh-CN"/>
                    </w:rPr>
                  </w:pPr>
                  <w:r>
                    <w:rPr>
                      <w:rFonts w:hint="eastAsia"/>
                      <w:b/>
                      <w:bCs/>
                      <w:color w:val="auto"/>
                      <w:szCs w:val="21"/>
                      <w:lang w:val="en-US" w:eastAsia="zh-CN"/>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560" w:type="pct"/>
                  <w:noWrap w:val="0"/>
                  <w:vAlign w:val="center"/>
                </w:tcPr>
                <w:p>
                  <w:pPr>
                    <w:jc w:val="center"/>
                    <w:rPr>
                      <w:rFonts w:hint="default" w:eastAsia="宋体"/>
                      <w:color w:val="auto"/>
                      <w:szCs w:val="21"/>
                      <w:lang w:val="en-US" w:eastAsia="zh-CN"/>
                    </w:rPr>
                  </w:pPr>
                  <w:r>
                    <w:rPr>
                      <w:rFonts w:hint="eastAsia"/>
                      <w:color w:val="auto"/>
                      <w:szCs w:val="21"/>
                      <w:lang w:val="en-US" w:eastAsia="zh-CN"/>
                    </w:rPr>
                    <w:t>食堂废水</w:t>
                  </w:r>
                </w:p>
              </w:tc>
              <w:tc>
                <w:tcPr>
                  <w:tcW w:w="601" w:type="pct"/>
                  <w:noWrap w:val="0"/>
                  <w:vAlign w:val="center"/>
                </w:tcPr>
                <w:p>
                  <w:pPr>
                    <w:jc w:val="center"/>
                    <w:rPr>
                      <w:rFonts w:hint="default"/>
                      <w:color w:val="auto"/>
                      <w:szCs w:val="21"/>
                      <w:lang w:val="en-US" w:eastAsia="zh-CN"/>
                    </w:rPr>
                  </w:pPr>
                  <w:r>
                    <w:rPr>
                      <w:rFonts w:hint="eastAsia"/>
                      <w:color w:val="auto"/>
                      <w:szCs w:val="21"/>
                      <w:lang w:val="en-US" w:eastAsia="zh-CN"/>
                    </w:rPr>
                    <w:t>1535.92</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1200</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600</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500</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20</w:t>
                  </w:r>
                </w:p>
              </w:tc>
              <w:tc>
                <w:tcPr>
                  <w:tcW w:w="475" w:type="pct"/>
                  <w:noWrap w:val="0"/>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392" w:type="pct"/>
                  <w:noWrap w:val="0"/>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559" w:type="pct"/>
                  <w:noWrap w:val="0"/>
                  <w:vAlign w:val="center"/>
                </w:tcPr>
                <w:p>
                  <w:pPr>
                    <w:jc w:val="center"/>
                    <w:rPr>
                      <w:rFonts w:hint="eastAsia" w:eastAsia="宋体"/>
                      <w:color w:val="auto"/>
                      <w:szCs w:val="21"/>
                      <w:lang w:val="en-US" w:eastAsia="zh-CN"/>
                    </w:rPr>
                  </w:pPr>
                  <w:r>
                    <w:rPr>
                      <w:rFonts w:hint="eastAsia"/>
                      <w:color w:val="auto"/>
                      <w:szCs w:val="21"/>
                      <w:lang w:val="en-US" w:eastAsia="zh-CN"/>
                    </w:rPr>
                    <w:t>/</w:t>
                  </w:r>
                </w:p>
              </w:tc>
              <w:tc>
                <w:tcPr>
                  <w:tcW w:w="509" w:type="pct"/>
                  <w:noWrap w:val="0"/>
                  <w:vAlign w:val="center"/>
                </w:tcPr>
                <w:p>
                  <w:pPr>
                    <w:jc w:val="center"/>
                    <w:rPr>
                      <w:rFonts w:hint="default"/>
                      <w:color w:val="auto"/>
                      <w:szCs w:val="21"/>
                      <w:lang w:val="en-US" w:eastAsia="zh-CN"/>
                    </w:rPr>
                  </w:pPr>
                  <w:r>
                    <w:rPr>
                      <w:rFonts w:hint="eastAsia"/>
                      <w:color w:val="auto"/>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560" w:type="pct"/>
                  <w:noWrap w:val="0"/>
                  <w:vAlign w:val="center"/>
                </w:tcPr>
                <w:p>
                  <w:pPr>
                    <w:jc w:val="center"/>
                    <w:rPr>
                      <w:color w:val="auto"/>
                      <w:szCs w:val="21"/>
                      <w:lang w:val="en-GB"/>
                    </w:rPr>
                  </w:pPr>
                  <w:r>
                    <w:rPr>
                      <w:color w:val="auto"/>
                      <w:szCs w:val="21"/>
                    </w:rPr>
                    <w:t>生活污水</w:t>
                  </w:r>
                </w:p>
              </w:tc>
              <w:tc>
                <w:tcPr>
                  <w:tcW w:w="601" w:type="pct"/>
                  <w:noWrap w:val="0"/>
                  <w:vAlign w:val="center"/>
                </w:tcPr>
                <w:p>
                  <w:pPr>
                    <w:jc w:val="center"/>
                    <w:rPr>
                      <w:rFonts w:hint="default" w:eastAsia="宋体"/>
                      <w:color w:val="auto"/>
                      <w:szCs w:val="21"/>
                      <w:lang w:val="en-US" w:eastAsia="zh-CN"/>
                    </w:rPr>
                  </w:pPr>
                  <w:r>
                    <w:rPr>
                      <w:rFonts w:hint="eastAsia"/>
                      <w:color w:val="auto"/>
                      <w:szCs w:val="21"/>
                      <w:lang w:val="en-US" w:eastAsia="zh-CN"/>
                    </w:rPr>
                    <w:t>2190</w:t>
                  </w:r>
                </w:p>
              </w:tc>
              <w:tc>
                <w:tcPr>
                  <w:tcW w:w="475" w:type="pct"/>
                  <w:noWrap w:val="0"/>
                  <w:vAlign w:val="center"/>
                </w:tcPr>
                <w:p>
                  <w:pPr>
                    <w:jc w:val="center"/>
                    <w:rPr>
                      <w:color w:val="auto"/>
                      <w:szCs w:val="21"/>
                    </w:rPr>
                  </w:pPr>
                  <w:r>
                    <w:rPr>
                      <w:rFonts w:hint="eastAsia"/>
                      <w:color w:val="auto"/>
                      <w:szCs w:val="21"/>
                    </w:rPr>
                    <w:t>400</w:t>
                  </w:r>
                </w:p>
              </w:tc>
              <w:tc>
                <w:tcPr>
                  <w:tcW w:w="475" w:type="pct"/>
                  <w:noWrap w:val="0"/>
                  <w:vAlign w:val="center"/>
                </w:tcPr>
                <w:p>
                  <w:pPr>
                    <w:jc w:val="center"/>
                    <w:rPr>
                      <w:color w:val="auto"/>
                      <w:szCs w:val="21"/>
                    </w:rPr>
                  </w:pPr>
                  <w:r>
                    <w:rPr>
                      <w:rFonts w:hint="eastAsia"/>
                      <w:color w:val="auto"/>
                      <w:szCs w:val="21"/>
                    </w:rPr>
                    <w:t>200</w:t>
                  </w:r>
                </w:p>
              </w:tc>
              <w:tc>
                <w:tcPr>
                  <w:tcW w:w="475" w:type="pct"/>
                  <w:noWrap w:val="0"/>
                  <w:vAlign w:val="center"/>
                </w:tcPr>
                <w:p>
                  <w:pPr>
                    <w:jc w:val="center"/>
                    <w:rPr>
                      <w:color w:val="auto"/>
                      <w:szCs w:val="21"/>
                    </w:rPr>
                  </w:pPr>
                  <w:r>
                    <w:rPr>
                      <w:rFonts w:hint="eastAsia"/>
                      <w:color w:val="auto"/>
                      <w:szCs w:val="21"/>
                    </w:rPr>
                    <w:t>300</w:t>
                  </w:r>
                </w:p>
              </w:tc>
              <w:tc>
                <w:tcPr>
                  <w:tcW w:w="475" w:type="pct"/>
                  <w:noWrap w:val="0"/>
                  <w:vAlign w:val="center"/>
                </w:tcPr>
                <w:p>
                  <w:pPr>
                    <w:jc w:val="center"/>
                    <w:rPr>
                      <w:color w:val="auto"/>
                      <w:szCs w:val="21"/>
                    </w:rPr>
                  </w:pPr>
                  <w:r>
                    <w:rPr>
                      <w:rFonts w:hint="eastAsia"/>
                      <w:color w:val="auto"/>
                      <w:szCs w:val="21"/>
                    </w:rPr>
                    <w:t>45</w:t>
                  </w:r>
                </w:p>
              </w:tc>
              <w:tc>
                <w:tcPr>
                  <w:tcW w:w="475" w:type="pct"/>
                  <w:noWrap w:val="0"/>
                  <w:vAlign w:val="center"/>
                </w:tcPr>
                <w:p>
                  <w:pPr>
                    <w:jc w:val="center"/>
                    <w:rPr>
                      <w:rFonts w:hint="eastAsia"/>
                      <w:color w:val="auto"/>
                      <w:szCs w:val="21"/>
                    </w:rPr>
                  </w:pPr>
                  <w:r>
                    <w:rPr>
                      <w:rFonts w:hint="eastAsia"/>
                      <w:color w:val="auto"/>
                      <w:szCs w:val="21"/>
                    </w:rPr>
                    <w:t>6</w:t>
                  </w:r>
                </w:p>
              </w:tc>
              <w:tc>
                <w:tcPr>
                  <w:tcW w:w="392" w:type="pct"/>
                  <w:noWrap w:val="0"/>
                  <w:vAlign w:val="center"/>
                </w:tcPr>
                <w:p>
                  <w:pPr>
                    <w:jc w:val="center"/>
                    <w:rPr>
                      <w:color w:val="auto"/>
                      <w:szCs w:val="21"/>
                    </w:rPr>
                  </w:pPr>
                  <w:r>
                    <w:rPr>
                      <w:rFonts w:hint="eastAsia"/>
                      <w:color w:val="auto"/>
                      <w:szCs w:val="21"/>
                    </w:rPr>
                    <w:t>50</w:t>
                  </w:r>
                </w:p>
              </w:tc>
              <w:tc>
                <w:tcPr>
                  <w:tcW w:w="559" w:type="pct"/>
                  <w:noWrap w:val="0"/>
                  <w:vAlign w:val="center"/>
                </w:tcPr>
                <w:p>
                  <w:pPr>
                    <w:jc w:val="center"/>
                    <w:rPr>
                      <w:color w:val="auto"/>
                      <w:szCs w:val="21"/>
                    </w:rPr>
                  </w:pPr>
                  <w:r>
                    <w:rPr>
                      <w:color w:val="auto"/>
                      <w:szCs w:val="21"/>
                    </w:rPr>
                    <w:t>/</w:t>
                  </w:r>
                </w:p>
              </w:tc>
              <w:tc>
                <w:tcPr>
                  <w:tcW w:w="509" w:type="pct"/>
                  <w:noWrap w:val="0"/>
                  <w:vAlign w:val="center"/>
                </w:tcPr>
                <w:p>
                  <w:pPr>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560" w:type="pct"/>
                  <w:noWrap w:val="0"/>
                  <w:vAlign w:val="center"/>
                </w:tcPr>
                <w:p>
                  <w:pPr>
                    <w:jc w:val="center"/>
                    <w:rPr>
                      <w:color w:val="auto"/>
                      <w:szCs w:val="21"/>
                    </w:rPr>
                  </w:pPr>
                  <w:r>
                    <w:rPr>
                      <w:color w:val="auto"/>
                      <w:szCs w:val="21"/>
                    </w:rPr>
                    <w:t>医疗废水</w:t>
                  </w:r>
                </w:p>
              </w:tc>
              <w:tc>
                <w:tcPr>
                  <w:tcW w:w="601" w:type="pct"/>
                  <w:noWrap w:val="0"/>
                  <w:vAlign w:val="center"/>
                </w:tcPr>
                <w:p>
                  <w:pPr>
                    <w:jc w:val="center"/>
                    <w:rPr>
                      <w:rFonts w:hint="default" w:eastAsia="宋体"/>
                      <w:color w:val="auto"/>
                      <w:szCs w:val="21"/>
                      <w:lang w:val="en-US" w:eastAsia="zh-CN"/>
                    </w:rPr>
                  </w:pPr>
                  <w:r>
                    <w:rPr>
                      <w:rFonts w:hint="eastAsia"/>
                      <w:color w:val="auto"/>
                      <w:szCs w:val="21"/>
                      <w:lang w:val="en-US" w:eastAsia="zh-CN"/>
                    </w:rPr>
                    <w:t>10862.4</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300</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150</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120</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35</w:t>
                  </w:r>
                </w:p>
              </w:tc>
              <w:tc>
                <w:tcPr>
                  <w:tcW w:w="475" w:type="pct"/>
                  <w:noWrap w:val="0"/>
                  <w:vAlign w:val="center"/>
                </w:tcPr>
                <w:p>
                  <w:pPr>
                    <w:jc w:val="center"/>
                    <w:rPr>
                      <w:rFonts w:hint="eastAsia"/>
                      <w:color w:val="auto"/>
                      <w:szCs w:val="21"/>
                    </w:rPr>
                  </w:pPr>
                  <w:r>
                    <w:rPr>
                      <w:rFonts w:hint="eastAsia"/>
                      <w:color w:val="auto"/>
                      <w:szCs w:val="21"/>
                    </w:rPr>
                    <w:t>5</w:t>
                  </w:r>
                </w:p>
              </w:tc>
              <w:tc>
                <w:tcPr>
                  <w:tcW w:w="392" w:type="pct"/>
                  <w:noWrap w:val="0"/>
                  <w:vAlign w:val="center"/>
                </w:tcPr>
                <w:p>
                  <w:pPr>
                    <w:jc w:val="center"/>
                    <w:rPr>
                      <w:color w:val="auto"/>
                      <w:szCs w:val="21"/>
                    </w:rPr>
                  </w:pPr>
                  <w:r>
                    <w:rPr>
                      <w:rFonts w:hint="eastAsia"/>
                      <w:color w:val="auto"/>
                      <w:szCs w:val="21"/>
                    </w:rPr>
                    <w:t>40</w:t>
                  </w:r>
                </w:p>
              </w:tc>
              <w:tc>
                <w:tcPr>
                  <w:tcW w:w="559" w:type="pct"/>
                  <w:noWrap w:val="0"/>
                  <w:vAlign w:val="center"/>
                </w:tcPr>
                <w:p>
                  <w:pPr>
                    <w:jc w:val="center"/>
                    <w:rPr>
                      <w:rFonts w:hint="eastAsia" w:eastAsia="宋体"/>
                      <w:color w:val="auto"/>
                      <w:szCs w:val="21"/>
                      <w:lang w:eastAsia="zh-CN"/>
                    </w:rPr>
                  </w:pPr>
                  <w:r>
                    <w:rPr>
                      <w:rFonts w:hint="eastAsia"/>
                      <w:color w:val="auto"/>
                      <w:szCs w:val="21"/>
                      <w:lang w:val="en-US" w:eastAsia="zh-CN"/>
                    </w:rPr>
                    <w:t>1.5</w:t>
                  </w:r>
                  <w:r>
                    <w:rPr>
                      <w:color w:val="auto"/>
                      <w:szCs w:val="21"/>
                    </w:rPr>
                    <w:t>×10</w:t>
                  </w:r>
                  <w:r>
                    <w:rPr>
                      <w:rFonts w:hint="eastAsia"/>
                      <w:color w:val="auto"/>
                      <w:szCs w:val="21"/>
                      <w:vertAlign w:val="superscript"/>
                      <w:lang w:val="en-US" w:eastAsia="zh-CN"/>
                    </w:rPr>
                    <w:t>7</w:t>
                  </w:r>
                </w:p>
              </w:tc>
              <w:tc>
                <w:tcPr>
                  <w:tcW w:w="509" w:type="pct"/>
                  <w:noWrap w:val="0"/>
                  <w:vAlign w:val="center"/>
                </w:tcPr>
                <w:p>
                  <w:pPr>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161" w:type="pct"/>
                  <w:gridSpan w:val="2"/>
                  <w:noWrap w:val="0"/>
                  <w:vAlign w:val="center"/>
                </w:tcPr>
                <w:p>
                  <w:pPr>
                    <w:jc w:val="center"/>
                    <w:rPr>
                      <w:color w:val="auto"/>
                      <w:szCs w:val="21"/>
                    </w:rPr>
                  </w:pPr>
                  <w:r>
                    <w:rPr>
                      <w:color w:val="auto"/>
                      <w:szCs w:val="21"/>
                    </w:rPr>
                    <w:t>混合废水（</w:t>
                  </w:r>
                  <w:r>
                    <w:rPr>
                      <w:rFonts w:hint="eastAsia"/>
                      <w:color w:val="auto"/>
                      <w:szCs w:val="21"/>
                      <w:lang w:val="en-US" w:eastAsia="zh-CN"/>
                    </w:rPr>
                    <w:t>14588.32</w:t>
                  </w:r>
                  <w:r>
                    <w:rPr>
                      <w:color w:val="auto"/>
                      <w:szCs w:val="21"/>
                    </w:rPr>
                    <w:t>m</w:t>
                  </w:r>
                  <w:r>
                    <w:rPr>
                      <w:color w:val="auto"/>
                      <w:szCs w:val="21"/>
                      <w:vertAlign w:val="superscript"/>
                    </w:rPr>
                    <w:t>3</w:t>
                  </w:r>
                  <w:r>
                    <w:rPr>
                      <w:color w:val="auto"/>
                      <w:szCs w:val="21"/>
                    </w:rPr>
                    <w:t>/a）</w:t>
                  </w:r>
                </w:p>
                <w:p>
                  <w:pPr>
                    <w:jc w:val="center"/>
                    <w:rPr>
                      <w:color w:val="auto"/>
                      <w:szCs w:val="21"/>
                    </w:rPr>
                  </w:pPr>
                  <w:r>
                    <w:rPr>
                      <w:color w:val="auto"/>
                      <w:szCs w:val="21"/>
                    </w:rPr>
                    <w:t>混合浓度(mg/L)</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409.8</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204.9</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187</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35.3</w:t>
                  </w:r>
                </w:p>
              </w:tc>
              <w:tc>
                <w:tcPr>
                  <w:tcW w:w="475" w:type="pct"/>
                  <w:noWrap w:val="0"/>
                  <w:vAlign w:val="center"/>
                </w:tcPr>
                <w:p>
                  <w:pPr>
                    <w:jc w:val="center"/>
                    <w:rPr>
                      <w:rFonts w:hint="default" w:eastAsia="宋体"/>
                      <w:color w:val="auto"/>
                      <w:szCs w:val="21"/>
                      <w:lang w:val="en-US" w:eastAsia="zh-CN"/>
                    </w:rPr>
                  </w:pPr>
                  <w:r>
                    <w:rPr>
                      <w:rFonts w:hint="eastAsia"/>
                      <w:color w:val="auto"/>
                      <w:szCs w:val="21"/>
                      <w:lang w:val="en-US" w:eastAsia="zh-CN"/>
                    </w:rPr>
                    <w:t>4.6</w:t>
                  </w:r>
                </w:p>
              </w:tc>
              <w:tc>
                <w:tcPr>
                  <w:tcW w:w="392" w:type="pct"/>
                  <w:noWrap w:val="0"/>
                  <w:vAlign w:val="center"/>
                </w:tcPr>
                <w:p>
                  <w:pPr>
                    <w:jc w:val="center"/>
                    <w:rPr>
                      <w:rFonts w:hint="default" w:eastAsia="宋体"/>
                      <w:color w:val="auto"/>
                      <w:szCs w:val="21"/>
                      <w:lang w:val="en-US" w:eastAsia="zh-CN"/>
                    </w:rPr>
                  </w:pPr>
                  <w:r>
                    <w:rPr>
                      <w:rFonts w:hint="eastAsia"/>
                      <w:color w:val="auto"/>
                      <w:szCs w:val="21"/>
                      <w:lang w:val="en-US" w:eastAsia="zh-CN"/>
                    </w:rPr>
                    <w:t>37.3</w:t>
                  </w:r>
                </w:p>
              </w:tc>
              <w:tc>
                <w:tcPr>
                  <w:tcW w:w="559" w:type="pct"/>
                  <w:noWrap w:val="0"/>
                  <w:vAlign w:val="center"/>
                </w:tcPr>
                <w:p>
                  <w:pPr>
                    <w:jc w:val="center"/>
                    <w:rPr>
                      <w:rFonts w:hint="default" w:eastAsia="宋体"/>
                      <w:color w:val="auto"/>
                      <w:szCs w:val="21"/>
                      <w:lang w:val="en-US" w:eastAsia="zh-CN"/>
                    </w:rPr>
                  </w:pPr>
                  <w:r>
                    <w:rPr>
                      <w:rFonts w:hint="eastAsia"/>
                      <w:color w:val="auto"/>
                      <w:szCs w:val="21"/>
                      <w:lang w:val="en-US" w:eastAsia="zh-CN"/>
                    </w:rPr>
                    <w:t>1.5</w:t>
                  </w:r>
                  <w:r>
                    <w:rPr>
                      <w:color w:val="auto"/>
                      <w:szCs w:val="21"/>
                    </w:rPr>
                    <w:t>×10</w:t>
                  </w:r>
                  <w:r>
                    <w:rPr>
                      <w:rFonts w:hint="eastAsia"/>
                      <w:color w:val="auto"/>
                      <w:szCs w:val="21"/>
                      <w:vertAlign w:val="superscript"/>
                      <w:lang w:val="en-US" w:eastAsia="zh-CN"/>
                    </w:rPr>
                    <w:t>7</w:t>
                  </w:r>
                </w:p>
              </w:tc>
              <w:tc>
                <w:tcPr>
                  <w:tcW w:w="509" w:type="pct"/>
                  <w:noWrap w:val="0"/>
                  <w:vAlign w:val="center"/>
                </w:tcPr>
                <w:p>
                  <w:pPr>
                    <w:jc w:val="center"/>
                    <w:rPr>
                      <w:rFonts w:hint="default" w:eastAsia="宋体"/>
                      <w:color w:val="auto"/>
                      <w:szCs w:val="21"/>
                      <w:lang w:val="en-US" w:eastAsia="zh-CN"/>
                    </w:rPr>
                  </w:pPr>
                  <w:r>
                    <w:rPr>
                      <w:rFonts w:hint="eastAsia"/>
                      <w:color w:val="auto"/>
                      <w:szCs w:val="21"/>
                      <w:lang w:val="en-US" w:eastAsia="zh-CN"/>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1" w:type="pct"/>
                  <w:gridSpan w:val="2"/>
                  <w:noWrap w:val="0"/>
                  <w:vAlign w:val="center"/>
                </w:tcPr>
                <w:p>
                  <w:pPr>
                    <w:jc w:val="center"/>
                    <w:rPr>
                      <w:color w:val="auto"/>
                      <w:szCs w:val="21"/>
                    </w:rPr>
                  </w:pPr>
                  <w:r>
                    <w:rPr>
                      <w:color w:val="auto"/>
                      <w:szCs w:val="21"/>
                    </w:rPr>
                    <w:t>产生量（t/a）</w:t>
                  </w:r>
                </w:p>
              </w:tc>
              <w:tc>
                <w:tcPr>
                  <w:tcW w:w="475" w:type="pct"/>
                  <w:noWrap w:val="0"/>
                  <w:vAlign w:val="center"/>
                </w:tcPr>
                <w:p>
                  <w:pPr>
                    <w:pStyle w:val="62"/>
                    <w:rPr>
                      <w:rFonts w:hint="default" w:eastAsia="宋体"/>
                      <w:color w:val="auto"/>
                      <w:szCs w:val="21"/>
                      <w:lang w:val="en-US" w:eastAsia="zh-CN"/>
                    </w:rPr>
                  </w:pPr>
                  <w:r>
                    <w:rPr>
                      <w:rFonts w:hint="eastAsia"/>
                      <w:color w:val="auto"/>
                      <w:szCs w:val="21"/>
                      <w:lang w:val="en-US" w:eastAsia="zh-CN"/>
                    </w:rPr>
                    <w:t>5.98</w:t>
                  </w:r>
                </w:p>
              </w:tc>
              <w:tc>
                <w:tcPr>
                  <w:tcW w:w="475" w:type="pct"/>
                  <w:noWrap w:val="0"/>
                  <w:vAlign w:val="center"/>
                </w:tcPr>
                <w:p>
                  <w:pPr>
                    <w:pStyle w:val="62"/>
                    <w:rPr>
                      <w:rFonts w:hint="default" w:eastAsia="宋体"/>
                      <w:color w:val="auto"/>
                      <w:szCs w:val="21"/>
                      <w:lang w:val="en-US" w:eastAsia="zh-CN"/>
                    </w:rPr>
                  </w:pPr>
                  <w:r>
                    <w:rPr>
                      <w:rFonts w:hint="eastAsia"/>
                      <w:color w:val="auto"/>
                      <w:szCs w:val="21"/>
                      <w:lang w:val="en-US" w:eastAsia="zh-CN"/>
                    </w:rPr>
                    <w:t>2.99</w:t>
                  </w:r>
                </w:p>
              </w:tc>
              <w:tc>
                <w:tcPr>
                  <w:tcW w:w="475" w:type="pct"/>
                  <w:noWrap w:val="0"/>
                  <w:vAlign w:val="center"/>
                </w:tcPr>
                <w:p>
                  <w:pPr>
                    <w:pStyle w:val="62"/>
                    <w:rPr>
                      <w:rFonts w:hint="default" w:eastAsia="宋体"/>
                      <w:color w:val="auto"/>
                      <w:szCs w:val="21"/>
                      <w:lang w:val="en-US" w:eastAsia="zh-CN"/>
                    </w:rPr>
                  </w:pPr>
                  <w:r>
                    <w:rPr>
                      <w:rFonts w:hint="eastAsia"/>
                      <w:color w:val="auto"/>
                      <w:szCs w:val="21"/>
                      <w:lang w:val="en-US" w:eastAsia="zh-CN"/>
                    </w:rPr>
                    <w:t>2.73</w:t>
                  </w:r>
                </w:p>
              </w:tc>
              <w:tc>
                <w:tcPr>
                  <w:tcW w:w="475" w:type="pct"/>
                  <w:noWrap w:val="0"/>
                  <w:vAlign w:val="center"/>
                </w:tcPr>
                <w:p>
                  <w:pPr>
                    <w:pStyle w:val="62"/>
                    <w:rPr>
                      <w:rFonts w:hint="default" w:eastAsia="宋体"/>
                      <w:color w:val="auto"/>
                      <w:szCs w:val="21"/>
                      <w:lang w:val="en-US" w:eastAsia="zh-CN"/>
                    </w:rPr>
                  </w:pPr>
                  <w:r>
                    <w:rPr>
                      <w:rFonts w:hint="eastAsia"/>
                      <w:color w:val="auto"/>
                      <w:szCs w:val="21"/>
                      <w:lang w:val="en-US" w:eastAsia="zh-CN"/>
                    </w:rPr>
                    <w:t>0.51</w:t>
                  </w:r>
                </w:p>
              </w:tc>
              <w:tc>
                <w:tcPr>
                  <w:tcW w:w="475" w:type="pct"/>
                  <w:noWrap w:val="0"/>
                  <w:vAlign w:val="center"/>
                </w:tcPr>
                <w:p>
                  <w:pPr>
                    <w:pStyle w:val="62"/>
                    <w:rPr>
                      <w:rFonts w:hint="default" w:eastAsia="宋体"/>
                      <w:color w:val="auto"/>
                      <w:szCs w:val="21"/>
                      <w:lang w:val="en-US" w:eastAsia="zh-CN"/>
                    </w:rPr>
                  </w:pPr>
                  <w:r>
                    <w:rPr>
                      <w:rFonts w:hint="eastAsia"/>
                      <w:color w:val="auto"/>
                      <w:szCs w:val="21"/>
                      <w:lang w:val="en-US" w:eastAsia="zh-CN"/>
                    </w:rPr>
                    <w:t>0.07</w:t>
                  </w:r>
                </w:p>
              </w:tc>
              <w:tc>
                <w:tcPr>
                  <w:tcW w:w="392" w:type="pct"/>
                  <w:noWrap w:val="0"/>
                  <w:vAlign w:val="center"/>
                </w:tcPr>
                <w:p>
                  <w:pPr>
                    <w:pStyle w:val="62"/>
                    <w:rPr>
                      <w:rFonts w:hint="default" w:eastAsia="宋体"/>
                      <w:color w:val="auto"/>
                      <w:szCs w:val="21"/>
                      <w:lang w:val="en-US" w:eastAsia="zh-CN"/>
                    </w:rPr>
                  </w:pPr>
                  <w:r>
                    <w:rPr>
                      <w:rFonts w:hint="eastAsia"/>
                      <w:color w:val="auto"/>
                      <w:szCs w:val="21"/>
                      <w:lang w:val="en-US" w:eastAsia="zh-CN"/>
                    </w:rPr>
                    <w:t>0.55</w:t>
                  </w:r>
                </w:p>
              </w:tc>
              <w:tc>
                <w:tcPr>
                  <w:tcW w:w="559" w:type="pct"/>
                  <w:noWrap w:val="0"/>
                  <w:vAlign w:val="center"/>
                </w:tcPr>
                <w:p>
                  <w:pPr>
                    <w:pStyle w:val="62"/>
                    <w:rPr>
                      <w:rFonts w:hint="eastAsia" w:eastAsia="宋体"/>
                      <w:color w:val="auto"/>
                      <w:szCs w:val="21"/>
                      <w:lang w:val="en-US" w:eastAsia="zh-CN"/>
                    </w:rPr>
                  </w:pPr>
                  <w:r>
                    <w:rPr>
                      <w:rFonts w:hint="eastAsia"/>
                      <w:color w:val="auto"/>
                      <w:szCs w:val="21"/>
                      <w:lang w:val="en-US" w:eastAsia="zh-CN"/>
                    </w:rPr>
                    <w:t>/</w:t>
                  </w:r>
                </w:p>
              </w:tc>
              <w:tc>
                <w:tcPr>
                  <w:tcW w:w="509" w:type="pct"/>
                  <w:noWrap w:val="0"/>
                  <w:vAlign w:val="center"/>
                </w:tcPr>
                <w:p>
                  <w:pPr>
                    <w:pStyle w:val="62"/>
                    <w:rPr>
                      <w:rFonts w:hint="default" w:eastAsia="宋体"/>
                      <w:color w:val="auto"/>
                      <w:szCs w:val="21"/>
                      <w:lang w:val="en-US" w:eastAsia="zh-CN"/>
                    </w:rPr>
                  </w:pPr>
                  <w:r>
                    <w:rPr>
                      <w:rFonts w:hint="eastAsia"/>
                      <w:color w:val="auto"/>
                      <w:szCs w:val="21"/>
                      <w:lang w:val="en-US" w:eastAsia="zh-CN"/>
                    </w:rPr>
                    <w:t>0.31</w:t>
                  </w:r>
                </w:p>
              </w:tc>
            </w:tr>
          </w:tbl>
          <w:p>
            <w:pPr>
              <w:spacing w:line="360" w:lineRule="auto"/>
              <w:ind w:firstLine="442" w:firstLineChars="200"/>
              <w:rPr>
                <w:rFonts w:hint="default" w:eastAsia="宋体"/>
                <w:b/>
                <w:bCs w:val="0"/>
                <w:color w:val="auto"/>
                <w:sz w:val="22"/>
                <w:szCs w:val="22"/>
                <w:lang w:val="en-US" w:eastAsia="zh-CN"/>
              </w:rPr>
            </w:pPr>
            <w:r>
              <w:rPr>
                <w:rFonts w:hint="eastAsia"/>
                <w:b/>
                <w:bCs w:val="0"/>
                <w:color w:val="auto"/>
                <w:sz w:val="22"/>
                <w:szCs w:val="22"/>
                <w:lang w:val="en-US" w:eastAsia="zh-CN"/>
              </w:rPr>
              <w:t>注：粪大肠菌群单位MPN/L为查表计算值，不宜进行混合均算，本项目废水主要由医疗废水构成，本项目混合废水粪大肠菌群以医疗废水中粪大肠菌群数计。</w:t>
            </w:r>
          </w:p>
          <w:p>
            <w:pPr>
              <w:spacing w:line="360" w:lineRule="auto"/>
              <w:ind w:firstLine="480" w:firstLineChars="200"/>
              <w:rPr>
                <w:color w:val="auto"/>
                <w:sz w:val="24"/>
                <w:szCs w:val="24"/>
              </w:rPr>
            </w:pPr>
            <w:r>
              <w:rPr>
                <w:bCs/>
                <w:color w:val="auto"/>
                <w:sz w:val="24"/>
                <w:szCs w:val="24"/>
              </w:rPr>
              <w:t>（2）治理设施、废水排放量、污染物排放量和浓度、排放方式、排放去向、排放规律、排放口基本情况、排放标准</w:t>
            </w:r>
          </w:p>
          <w:p>
            <w:pPr>
              <w:pStyle w:val="42"/>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①治理设施处理能力、治理工艺、治理效率、是否为可行技术</w:t>
            </w:r>
          </w:p>
          <w:p>
            <w:pPr>
              <w:spacing w:line="360" w:lineRule="auto"/>
              <w:ind w:firstLine="480" w:firstLineChars="200"/>
              <w:rPr>
                <w:snapToGrid w:val="0"/>
                <w:color w:val="auto"/>
                <w:sz w:val="24"/>
                <w:szCs w:val="24"/>
                <w:lang w:val="en-GB"/>
              </w:rPr>
            </w:pPr>
            <w:r>
              <w:rPr>
                <w:rFonts w:hint="eastAsia"/>
                <w:snapToGrid w:val="0"/>
                <w:color w:val="auto"/>
                <w:sz w:val="24"/>
                <w:szCs w:val="24"/>
              </w:rPr>
              <w:t>污水处理装置处理能力：</w:t>
            </w:r>
            <w:r>
              <w:rPr>
                <w:color w:val="auto"/>
                <w:sz w:val="24"/>
                <w:szCs w:val="24"/>
              </w:rPr>
              <w:t>本项目生活</w:t>
            </w:r>
            <w:r>
              <w:rPr>
                <w:rFonts w:hint="eastAsia"/>
                <w:color w:val="auto"/>
                <w:sz w:val="24"/>
                <w:szCs w:val="24"/>
              </w:rPr>
              <w:t>污水排入自建化粪池处理后与检验科废水</w:t>
            </w:r>
            <w:r>
              <w:rPr>
                <w:color w:val="auto"/>
                <w:sz w:val="24"/>
                <w:szCs w:val="24"/>
              </w:rPr>
              <w:t>、医疗废水</w:t>
            </w:r>
            <w:r>
              <w:rPr>
                <w:rFonts w:hint="eastAsia"/>
                <w:color w:val="auto"/>
                <w:sz w:val="24"/>
                <w:szCs w:val="24"/>
              </w:rPr>
              <w:t>共同排入污水处理站</w:t>
            </w:r>
            <w:r>
              <w:rPr>
                <w:color w:val="auto"/>
                <w:sz w:val="24"/>
                <w:szCs w:val="24"/>
              </w:rPr>
              <w:t>（</w:t>
            </w:r>
            <w:r>
              <w:rPr>
                <w:rFonts w:hint="eastAsia"/>
                <w:color w:val="auto"/>
                <w:sz w:val="24"/>
                <w:szCs w:val="24"/>
                <w:lang w:eastAsia="zh-CN"/>
              </w:rPr>
              <w:t>预处理+ A/O工艺+加次氯酸钠消毒</w:t>
            </w:r>
            <w:r>
              <w:rPr>
                <w:color w:val="auto"/>
                <w:sz w:val="24"/>
                <w:szCs w:val="24"/>
              </w:rPr>
              <w:t>）处理</w:t>
            </w:r>
            <w:r>
              <w:rPr>
                <w:rFonts w:hint="eastAsia"/>
                <w:color w:val="auto"/>
                <w:sz w:val="24"/>
                <w:szCs w:val="24"/>
              </w:rPr>
              <w:t>工艺</w:t>
            </w:r>
            <w:r>
              <w:rPr>
                <w:color w:val="auto"/>
                <w:sz w:val="24"/>
                <w:szCs w:val="24"/>
              </w:rPr>
              <w:t>处理达标后</w:t>
            </w:r>
            <w:r>
              <w:rPr>
                <w:bCs/>
                <w:color w:val="auto"/>
                <w:sz w:val="24"/>
                <w:szCs w:val="24"/>
              </w:rPr>
              <w:t>，</w:t>
            </w:r>
            <w:r>
              <w:rPr>
                <w:rFonts w:hint="eastAsia"/>
                <w:color w:val="auto"/>
                <w:sz w:val="24"/>
                <w:szCs w:val="24"/>
              </w:rPr>
              <w:t>经市政污水管网排至</w:t>
            </w:r>
            <w:r>
              <w:rPr>
                <w:rFonts w:hint="eastAsia"/>
                <w:color w:val="auto"/>
                <w:sz w:val="24"/>
                <w:szCs w:val="24"/>
                <w:lang w:val="en-US" w:eastAsia="zh-CN"/>
              </w:rPr>
              <w:t>西安市第四</w:t>
            </w:r>
            <w:r>
              <w:rPr>
                <w:rFonts w:hint="eastAsia"/>
                <w:color w:val="auto"/>
                <w:sz w:val="24"/>
                <w:szCs w:val="24"/>
              </w:rPr>
              <w:t>污水处理厂进一步处理</w:t>
            </w:r>
            <w:r>
              <w:rPr>
                <w:rFonts w:hint="eastAsia"/>
                <w:snapToGrid w:val="0"/>
                <w:color w:val="auto"/>
                <w:sz w:val="24"/>
                <w:szCs w:val="24"/>
              </w:rPr>
              <w:t>。本项目污水处理站设计</w:t>
            </w:r>
            <w:r>
              <w:rPr>
                <w:snapToGrid w:val="0"/>
                <w:color w:val="auto"/>
                <w:sz w:val="24"/>
                <w:szCs w:val="24"/>
                <w:lang w:val="en-GB"/>
              </w:rPr>
              <w:t>日处理</w:t>
            </w:r>
            <w:r>
              <w:rPr>
                <w:rFonts w:hint="eastAsia"/>
                <w:snapToGrid w:val="0"/>
                <w:color w:val="auto"/>
                <w:sz w:val="24"/>
                <w:szCs w:val="24"/>
              </w:rPr>
              <w:t>能力</w:t>
            </w:r>
            <w:r>
              <w:rPr>
                <w:snapToGrid w:val="0"/>
                <w:color w:val="auto"/>
                <w:sz w:val="24"/>
                <w:szCs w:val="24"/>
                <w:lang w:val="en-GB"/>
              </w:rPr>
              <w:t>为</w:t>
            </w:r>
            <w:r>
              <w:rPr>
                <w:rFonts w:hint="eastAsia"/>
                <w:snapToGrid w:val="0"/>
                <w:color w:val="auto"/>
                <w:sz w:val="24"/>
                <w:szCs w:val="24"/>
                <w:lang w:val="en-US" w:eastAsia="zh-CN"/>
              </w:rPr>
              <w:t>50</w:t>
            </w:r>
            <w:r>
              <w:rPr>
                <w:snapToGrid w:val="0"/>
                <w:color w:val="auto"/>
                <w:sz w:val="24"/>
                <w:szCs w:val="24"/>
                <w:lang w:val="en-GB"/>
              </w:rPr>
              <w:t>m</w:t>
            </w:r>
            <w:r>
              <w:rPr>
                <w:snapToGrid w:val="0"/>
                <w:color w:val="auto"/>
                <w:sz w:val="24"/>
                <w:szCs w:val="24"/>
                <w:vertAlign w:val="superscript"/>
                <w:lang w:val="en-GB"/>
              </w:rPr>
              <w:t>3</w:t>
            </w:r>
            <w:r>
              <w:rPr>
                <w:snapToGrid w:val="0"/>
                <w:color w:val="auto"/>
                <w:sz w:val="24"/>
                <w:szCs w:val="24"/>
                <w:lang w:val="en-GB"/>
              </w:rPr>
              <w:t>/d，项目</w:t>
            </w:r>
            <w:r>
              <w:rPr>
                <w:rFonts w:hint="eastAsia"/>
                <w:snapToGrid w:val="0"/>
                <w:color w:val="auto"/>
                <w:sz w:val="24"/>
                <w:szCs w:val="24"/>
              </w:rPr>
              <w:t>正常情况下最大排水量</w:t>
            </w:r>
            <w:r>
              <w:rPr>
                <w:snapToGrid w:val="0"/>
                <w:color w:val="auto"/>
                <w:sz w:val="24"/>
                <w:szCs w:val="24"/>
                <w:lang w:val="en-GB"/>
              </w:rPr>
              <w:t>为</w:t>
            </w:r>
            <w:r>
              <w:rPr>
                <w:rFonts w:hint="eastAsia"/>
                <w:snapToGrid w:val="0"/>
                <w:color w:val="auto"/>
                <w:sz w:val="24"/>
                <w:szCs w:val="24"/>
                <w:lang w:val="en-US" w:eastAsia="zh-CN"/>
              </w:rPr>
              <w:t>39.968</w:t>
            </w:r>
            <w:r>
              <w:rPr>
                <w:snapToGrid w:val="0"/>
                <w:color w:val="auto"/>
                <w:sz w:val="24"/>
                <w:szCs w:val="24"/>
                <w:lang w:val="en-GB"/>
              </w:rPr>
              <w:t>m</w:t>
            </w:r>
            <w:r>
              <w:rPr>
                <w:snapToGrid w:val="0"/>
                <w:color w:val="auto"/>
                <w:sz w:val="24"/>
                <w:szCs w:val="24"/>
                <w:vertAlign w:val="superscript"/>
                <w:lang w:val="en-GB"/>
              </w:rPr>
              <w:t>3</w:t>
            </w:r>
            <w:r>
              <w:rPr>
                <w:snapToGrid w:val="0"/>
                <w:color w:val="auto"/>
                <w:sz w:val="24"/>
                <w:szCs w:val="24"/>
                <w:lang w:val="en-GB"/>
              </w:rPr>
              <w:t>/d</w:t>
            </w:r>
            <w:r>
              <w:rPr>
                <w:rFonts w:hint="eastAsia"/>
                <w:snapToGrid w:val="0"/>
                <w:color w:val="auto"/>
                <w:sz w:val="24"/>
                <w:szCs w:val="24"/>
                <w:lang w:val="en-GB"/>
              </w:rPr>
              <w:t>。</w:t>
            </w:r>
            <w:r>
              <w:rPr>
                <w:rFonts w:hint="eastAsia"/>
                <w:snapToGrid w:val="0"/>
                <w:color w:val="auto"/>
                <w:sz w:val="24"/>
                <w:szCs w:val="24"/>
              </w:rPr>
              <w:t>故本项目污水处理装置的设计处理能力</w:t>
            </w:r>
            <w:r>
              <w:rPr>
                <w:snapToGrid w:val="0"/>
                <w:color w:val="auto"/>
                <w:sz w:val="24"/>
                <w:szCs w:val="24"/>
                <w:lang w:val="en-GB"/>
              </w:rPr>
              <w:t>能够满足</w:t>
            </w:r>
            <w:r>
              <w:rPr>
                <w:rFonts w:hint="eastAsia"/>
                <w:snapToGrid w:val="0"/>
                <w:color w:val="auto"/>
                <w:sz w:val="24"/>
                <w:szCs w:val="24"/>
              </w:rPr>
              <w:t>医院</w:t>
            </w:r>
            <w:r>
              <w:rPr>
                <w:snapToGrid w:val="0"/>
                <w:color w:val="auto"/>
                <w:sz w:val="24"/>
                <w:szCs w:val="24"/>
                <w:lang w:val="en-GB"/>
              </w:rPr>
              <w:t>废水</w:t>
            </w:r>
            <w:r>
              <w:rPr>
                <w:rFonts w:hint="eastAsia"/>
                <w:snapToGrid w:val="0"/>
                <w:color w:val="auto"/>
                <w:sz w:val="24"/>
                <w:szCs w:val="24"/>
              </w:rPr>
              <w:t>处理</w:t>
            </w:r>
            <w:r>
              <w:rPr>
                <w:snapToGrid w:val="0"/>
                <w:color w:val="auto"/>
                <w:sz w:val="24"/>
                <w:szCs w:val="24"/>
                <w:lang w:val="en-GB"/>
              </w:rPr>
              <w:t>需求。</w:t>
            </w:r>
          </w:p>
          <w:p>
            <w:pPr>
              <w:spacing w:line="360" w:lineRule="auto"/>
              <w:ind w:firstLine="480" w:firstLineChars="200"/>
              <w:rPr>
                <w:bCs/>
                <w:color w:val="auto"/>
                <w:sz w:val="24"/>
                <w:szCs w:val="24"/>
              </w:rPr>
            </w:pPr>
            <w:r>
              <w:rPr>
                <w:rFonts w:hint="eastAsia"/>
                <w:bCs/>
                <w:color w:val="auto"/>
                <w:sz w:val="24"/>
                <w:szCs w:val="24"/>
              </w:rPr>
              <w:t>治理工艺</w:t>
            </w:r>
            <w:r>
              <w:rPr>
                <w:bCs/>
                <w:color w:val="auto"/>
                <w:sz w:val="24"/>
                <w:szCs w:val="24"/>
              </w:rPr>
              <w:t>：</w:t>
            </w:r>
            <w:r>
              <w:rPr>
                <w:rFonts w:hint="eastAsia"/>
                <w:color w:val="auto"/>
                <w:sz w:val="24"/>
                <w:szCs w:val="24"/>
              </w:rPr>
              <w:t>本项目污水采取化粪池+污水处理装置进行预处理，工艺为</w:t>
            </w:r>
            <w:r>
              <w:rPr>
                <w:bCs/>
                <w:color w:val="auto"/>
                <w:sz w:val="24"/>
                <w:szCs w:val="24"/>
              </w:rPr>
              <w:t>“</w:t>
            </w:r>
            <w:r>
              <w:rPr>
                <w:rFonts w:hint="eastAsia"/>
                <w:bCs/>
                <w:color w:val="auto"/>
                <w:sz w:val="24"/>
                <w:szCs w:val="24"/>
              </w:rPr>
              <w:t>化粪池+</w:t>
            </w:r>
            <w:r>
              <w:rPr>
                <w:rFonts w:hint="eastAsia"/>
                <w:color w:val="auto"/>
                <w:sz w:val="24"/>
                <w:szCs w:val="24"/>
                <w:lang w:eastAsia="zh-CN"/>
              </w:rPr>
              <w:t>预处理+ A/O工艺+加次氯酸钠消毒</w:t>
            </w:r>
            <w:r>
              <w:rPr>
                <w:bCs/>
                <w:color w:val="auto"/>
                <w:sz w:val="24"/>
                <w:szCs w:val="24"/>
              </w:rPr>
              <w:t>”处理，</w:t>
            </w:r>
            <w:r>
              <w:rPr>
                <w:rFonts w:hint="eastAsia"/>
                <w:bCs/>
                <w:color w:val="auto"/>
                <w:sz w:val="24"/>
                <w:szCs w:val="24"/>
              </w:rPr>
              <w:t>经处理后达到</w:t>
            </w:r>
            <w:r>
              <w:rPr>
                <w:color w:val="auto"/>
                <w:sz w:val="24"/>
                <w:szCs w:val="24"/>
              </w:rPr>
              <w:t>《医疗机构水污染物排放标准》（GB18466-2005）表2预处理标准及《污水排入城镇下水道水质标准》（GB/T31962-2015）</w:t>
            </w:r>
            <w:r>
              <w:rPr>
                <w:rFonts w:hint="eastAsia"/>
                <w:color w:val="auto"/>
                <w:sz w:val="24"/>
                <w:szCs w:val="24"/>
              </w:rPr>
              <w:t>A级标准，经市政污水管网排至</w:t>
            </w:r>
            <w:r>
              <w:rPr>
                <w:rFonts w:hint="eastAsia"/>
                <w:color w:val="auto"/>
                <w:sz w:val="24"/>
                <w:szCs w:val="24"/>
                <w:lang w:val="en-US" w:eastAsia="zh-CN"/>
              </w:rPr>
              <w:t>西安市第四</w:t>
            </w:r>
            <w:r>
              <w:rPr>
                <w:rFonts w:hint="eastAsia"/>
                <w:color w:val="auto"/>
                <w:sz w:val="24"/>
                <w:szCs w:val="24"/>
              </w:rPr>
              <w:t>污水处理厂进一步处理</w:t>
            </w:r>
            <w:r>
              <w:rPr>
                <w:color w:val="auto"/>
                <w:sz w:val="24"/>
                <w:szCs w:val="24"/>
              </w:rPr>
              <w:t>。</w:t>
            </w:r>
          </w:p>
          <w:p>
            <w:pPr>
              <w:spacing w:line="360" w:lineRule="auto"/>
              <w:ind w:firstLine="480" w:firstLineChars="200"/>
              <w:rPr>
                <w:rFonts w:hint="eastAsia"/>
                <w:bCs/>
                <w:color w:val="auto"/>
                <w:sz w:val="24"/>
                <w:szCs w:val="24"/>
              </w:rPr>
            </w:pPr>
            <w:r>
              <w:rPr>
                <w:bCs/>
                <w:color w:val="auto"/>
                <w:sz w:val="24"/>
                <w:szCs w:val="24"/>
              </w:rPr>
              <w:t>治理效率</w:t>
            </w:r>
            <w:r>
              <w:rPr>
                <w:rFonts w:hint="eastAsia"/>
                <w:bCs/>
                <w:color w:val="auto"/>
                <w:sz w:val="24"/>
                <w:szCs w:val="24"/>
              </w:rPr>
              <w:t>：项目废水经</w:t>
            </w:r>
            <w:r>
              <w:rPr>
                <w:rFonts w:hint="eastAsia"/>
                <w:color w:val="auto"/>
                <w:sz w:val="24"/>
                <w:szCs w:val="24"/>
              </w:rPr>
              <w:t>化粪池+污水处理装置</w:t>
            </w:r>
            <w:r>
              <w:rPr>
                <w:rFonts w:hint="eastAsia"/>
                <w:bCs/>
                <w:color w:val="auto"/>
                <w:sz w:val="24"/>
                <w:szCs w:val="24"/>
              </w:rPr>
              <w:t>处理后各污染物的去除效率为COD</w:t>
            </w:r>
            <w:r>
              <w:rPr>
                <w:rFonts w:hint="eastAsia"/>
                <w:bCs/>
                <w:color w:val="auto"/>
                <w:sz w:val="24"/>
                <w:szCs w:val="24"/>
                <w:lang w:val="en-US" w:eastAsia="zh-CN"/>
              </w:rPr>
              <w:t>80</w:t>
            </w:r>
            <w:r>
              <w:rPr>
                <w:rFonts w:hint="eastAsia"/>
                <w:bCs/>
                <w:color w:val="auto"/>
                <w:sz w:val="24"/>
                <w:szCs w:val="24"/>
              </w:rPr>
              <w:t>%、BOD</w:t>
            </w:r>
            <w:r>
              <w:rPr>
                <w:rFonts w:hint="eastAsia"/>
                <w:bCs/>
                <w:color w:val="auto"/>
                <w:sz w:val="24"/>
                <w:szCs w:val="24"/>
                <w:vertAlign w:val="subscript"/>
              </w:rPr>
              <w:t>5</w:t>
            </w:r>
            <w:r>
              <w:rPr>
                <w:rFonts w:hint="eastAsia"/>
                <w:bCs/>
                <w:color w:val="auto"/>
                <w:sz w:val="24"/>
                <w:szCs w:val="24"/>
                <w:lang w:val="en-US" w:eastAsia="zh-CN"/>
              </w:rPr>
              <w:t>87</w:t>
            </w:r>
            <w:r>
              <w:rPr>
                <w:rFonts w:hint="eastAsia"/>
                <w:bCs/>
                <w:color w:val="auto"/>
                <w:sz w:val="24"/>
                <w:szCs w:val="24"/>
              </w:rPr>
              <w:t>%、SS</w:t>
            </w:r>
            <w:r>
              <w:rPr>
                <w:rFonts w:hint="eastAsia"/>
                <w:bCs/>
                <w:color w:val="auto"/>
                <w:sz w:val="24"/>
                <w:szCs w:val="24"/>
                <w:lang w:val="en-US" w:eastAsia="zh-CN"/>
              </w:rPr>
              <w:t>83</w:t>
            </w:r>
            <w:r>
              <w:rPr>
                <w:rFonts w:hint="eastAsia"/>
                <w:bCs/>
                <w:color w:val="auto"/>
                <w:sz w:val="24"/>
                <w:szCs w:val="24"/>
              </w:rPr>
              <w:t>%、NH</w:t>
            </w:r>
            <w:r>
              <w:rPr>
                <w:rFonts w:hint="eastAsia"/>
                <w:bCs/>
                <w:color w:val="auto"/>
                <w:sz w:val="24"/>
                <w:szCs w:val="24"/>
                <w:vertAlign w:val="subscript"/>
              </w:rPr>
              <w:t>3</w:t>
            </w:r>
            <w:r>
              <w:rPr>
                <w:rFonts w:hint="eastAsia"/>
                <w:bCs/>
                <w:color w:val="auto"/>
                <w:sz w:val="24"/>
                <w:szCs w:val="24"/>
              </w:rPr>
              <w:t>-N</w:t>
            </w:r>
            <w:r>
              <w:rPr>
                <w:rFonts w:hint="eastAsia"/>
                <w:bCs/>
                <w:color w:val="auto"/>
                <w:sz w:val="24"/>
                <w:szCs w:val="24"/>
                <w:lang w:val="en-US" w:eastAsia="zh-CN"/>
              </w:rPr>
              <w:t>62.5</w:t>
            </w:r>
            <w:r>
              <w:rPr>
                <w:rFonts w:hint="eastAsia"/>
                <w:bCs/>
                <w:color w:val="auto"/>
                <w:sz w:val="24"/>
                <w:szCs w:val="24"/>
              </w:rPr>
              <w:t>%</w:t>
            </w:r>
            <w:r>
              <w:rPr>
                <w:rFonts w:hint="eastAsia"/>
                <w:bCs/>
                <w:color w:val="auto"/>
                <w:sz w:val="24"/>
                <w:szCs w:val="24"/>
                <w:lang w:eastAsia="zh-CN"/>
              </w:rPr>
              <w:t>、</w:t>
            </w:r>
            <w:r>
              <w:rPr>
                <w:rFonts w:hint="eastAsia"/>
                <w:bCs/>
                <w:color w:val="auto"/>
                <w:sz w:val="24"/>
                <w:szCs w:val="24"/>
                <w:lang w:val="en-US" w:eastAsia="zh-CN"/>
              </w:rPr>
              <w:t>总氮55%、动植物油60%，粪大肠杆菌群99.99%</w:t>
            </w:r>
            <w:r>
              <w:rPr>
                <w:rFonts w:hint="eastAsia"/>
                <w:bCs/>
                <w:color w:val="auto"/>
                <w:sz w:val="24"/>
                <w:szCs w:val="24"/>
              </w:rPr>
              <w:t>。根据分析，处理后的废水可达到</w:t>
            </w:r>
            <w:r>
              <w:rPr>
                <w:color w:val="auto"/>
                <w:sz w:val="24"/>
                <w:szCs w:val="24"/>
              </w:rPr>
              <w:t>《医疗机构水污染物排放标准》（GB18466-2005）表2预处理标准及《污水排入城镇下水道水质标准》（GB/T31962-2015）</w:t>
            </w:r>
            <w:r>
              <w:rPr>
                <w:rFonts w:hint="eastAsia"/>
                <w:color w:val="auto"/>
                <w:sz w:val="24"/>
                <w:szCs w:val="24"/>
              </w:rPr>
              <w:t>A级标准</w:t>
            </w:r>
            <w:r>
              <w:rPr>
                <w:rFonts w:hint="eastAsia"/>
                <w:bCs/>
                <w:color w:val="auto"/>
                <w:sz w:val="24"/>
                <w:szCs w:val="24"/>
              </w:rPr>
              <w:t>。</w:t>
            </w:r>
          </w:p>
          <w:p>
            <w:pPr>
              <w:spacing w:line="360" w:lineRule="auto"/>
              <w:ind w:firstLine="480" w:firstLineChars="200"/>
              <w:rPr>
                <w:bCs/>
                <w:color w:val="auto"/>
                <w:sz w:val="24"/>
                <w:szCs w:val="24"/>
              </w:rPr>
            </w:pPr>
            <w:r>
              <w:rPr>
                <w:color w:val="auto"/>
                <w:sz w:val="24"/>
                <w:szCs w:val="24"/>
              </w:rPr>
              <w:t>根据《医院污水处理工程技术规范》（HJ2029-2013）：“6.2.2（1）出水排入城市污水管网（终端已建有正常运行的二级污水处理厂）的非传染病污水，可采用一级强化处理工艺。（2）非传染性医院污水，若处理出水直接或间接排入地表水体或海域时，应采用二级处理+消毒工艺或二级处理+深度处理+消毒工艺。”本项目出水排入污水管网，终端已建成正常运行的</w:t>
            </w:r>
            <w:r>
              <w:rPr>
                <w:rFonts w:hint="eastAsia"/>
                <w:color w:val="auto"/>
                <w:sz w:val="24"/>
                <w:szCs w:val="24"/>
                <w:shd w:val="clear" w:color="auto" w:fill="FFFFFF"/>
              </w:rPr>
              <w:t>污水处理厂</w:t>
            </w:r>
            <w:r>
              <w:rPr>
                <w:color w:val="auto"/>
                <w:sz w:val="24"/>
                <w:szCs w:val="24"/>
              </w:rPr>
              <w:t>，项目废水处理采用</w:t>
            </w:r>
            <w:r>
              <w:rPr>
                <w:bCs/>
                <w:color w:val="auto"/>
                <w:sz w:val="24"/>
                <w:szCs w:val="24"/>
              </w:rPr>
              <w:t>“</w:t>
            </w:r>
            <w:r>
              <w:rPr>
                <w:rFonts w:hint="eastAsia"/>
                <w:bCs/>
                <w:color w:val="auto"/>
                <w:sz w:val="24"/>
                <w:szCs w:val="24"/>
              </w:rPr>
              <w:t>化粪池+</w:t>
            </w:r>
            <w:r>
              <w:rPr>
                <w:rFonts w:hint="eastAsia"/>
                <w:bCs/>
                <w:color w:val="auto"/>
                <w:sz w:val="24"/>
                <w:szCs w:val="24"/>
                <w:lang w:eastAsia="zh-CN"/>
              </w:rPr>
              <w:t>预处理+ A/O工艺+加次氯酸钠消毒</w:t>
            </w:r>
            <w:r>
              <w:rPr>
                <w:bCs/>
                <w:color w:val="auto"/>
                <w:sz w:val="24"/>
                <w:szCs w:val="24"/>
              </w:rPr>
              <w:t>”</w:t>
            </w:r>
            <w:r>
              <w:rPr>
                <w:color w:val="auto"/>
                <w:sz w:val="24"/>
                <w:szCs w:val="24"/>
              </w:rPr>
              <w:t>工艺，</w:t>
            </w:r>
            <w:r>
              <w:rPr>
                <w:rFonts w:hint="eastAsia"/>
                <w:color w:val="auto"/>
                <w:sz w:val="24"/>
                <w:szCs w:val="24"/>
              </w:rPr>
              <w:t>为</w:t>
            </w:r>
            <w:r>
              <w:rPr>
                <w:rFonts w:hint="eastAsia"/>
                <w:color w:val="auto"/>
                <w:sz w:val="24"/>
                <w:szCs w:val="24"/>
                <w:lang w:val="en-US" w:eastAsia="zh-CN"/>
              </w:rPr>
              <w:t>二级</w:t>
            </w:r>
            <w:r>
              <w:rPr>
                <w:rFonts w:hint="eastAsia"/>
                <w:color w:val="auto"/>
                <w:sz w:val="24"/>
                <w:szCs w:val="24"/>
              </w:rPr>
              <w:t>处理工艺，是非常成熟的处理工艺，</w:t>
            </w:r>
            <w:r>
              <w:rPr>
                <w:color w:val="auto"/>
                <w:sz w:val="24"/>
                <w:szCs w:val="24"/>
              </w:rPr>
              <w:t>且根据工程分析，项目废水经</w:t>
            </w:r>
            <w:r>
              <w:rPr>
                <w:bCs/>
                <w:color w:val="auto"/>
                <w:sz w:val="24"/>
                <w:szCs w:val="24"/>
              </w:rPr>
              <w:t>“</w:t>
            </w:r>
            <w:r>
              <w:rPr>
                <w:rFonts w:hint="eastAsia"/>
                <w:bCs/>
                <w:color w:val="auto"/>
                <w:sz w:val="24"/>
                <w:szCs w:val="24"/>
              </w:rPr>
              <w:t>化粪池+</w:t>
            </w:r>
            <w:r>
              <w:rPr>
                <w:rFonts w:hint="eastAsia"/>
                <w:bCs/>
                <w:color w:val="auto"/>
                <w:sz w:val="24"/>
                <w:szCs w:val="24"/>
                <w:lang w:eastAsia="zh-CN"/>
              </w:rPr>
              <w:t>预处理+ A/O工艺+加次氯酸钠消毒</w:t>
            </w:r>
            <w:r>
              <w:rPr>
                <w:bCs/>
                <w:color w:val="auto"/>
                <w:sz w:val="24"/>
                <w:szCs w:val="24"/>
              </w:rPr>
              <w:t>”</w:t>
            </w:r>
            <w:r>
              <w:rPr>
                <w:color w:val="auto"/>
                <w:sz w:val="24"/>
                <w:szCs w:val="24"/>
              </w:rPr>
              <w:t>处理后，项目废水经可达到《医疗机构水污染物排放标准》（GB18466-2005）表2预处理标准</w:t>
            </w:r>
            <w:r>
              <w:rPr>
                <w:rFonts w:hint="eastAsia"/>
                <w:color w:val="auto"/>
                <w:sz w:val="24"/>
                <w:szCs w:val="24"/>
              </w:rPr>
              <w:t>及</w:t>
            </w:r>
            <w:r>
              <w:rPr>
                <w:rFonts w:hint="eastAsia"/>
                <w:bCs/>
                <w:color w:val="auto"/>
                <w:sz w:val="24"/>
                <w:szCs w:val="24"/>
              </w:rPr>
              <w:t>《污水排入城镇下水道水质标准》（GB/T31962-2015）A级标准</w:t>
            </w:r>
            <w:r>
              <w:rPr>
                <w:color w:val="auto"/>
                <w:sz w:val="24"/>
                <w:szCs w:val="24"/>
              </w:rPr>
              <w:t>。</w:t>
            </w:r>
          </w:p>
          <w:p>
            <w:pPr>
              <w:adjustRightInd w:val="0"/>
              <w:snapToGrid w:val="0"/>
              <w:spacing w:line="360" w:lineRule="auto"/>
              <w:ind w:firstLine="480"/>
              <w:rPr>
                <w:color w:val="auto"/>
                <w:sz w:val="24"/>
                <w:szCs w:val="24"/>
              </w:rPr>
            </w:pPr>
            <w:r>
              <w:rPr>
                <w:bCs/>
                <w:color w:val="auto"/>
                <w:sz w:val="24"/>
                <w:szCs w:val="24"/>
              </w:rPr>
              <w:t>综上，从污水处理能力、治理工艺、治理效率等方面分析，本项目废水处理方案可行</w:t>
            </w:r>
            <w:r>
              <w:rPr>
                <w:color w:val="auto"/>
                <w:sz w:val="24"/>
                <w:szCs w:val="24"/>
              </w:rPr>
              <w:t>。</w:t>
            </w:r>
          </w:p>
          <w:p>
            <w:pPr>
              <w:pStyle w:val="42"/>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②废水排放量、污染物排放量和浓度</w:t>
            </w:r>
          </w:p>
          <w:p>
            <w:pPr>
              <w:pStyle w:val="26"/>
              <w:spacing w:after="0" w:line="360" w:lineRule="auto"/>
              <w:ind w:left="0" w:leftChars="0" w:firstLine="480" w:firstLineChars="200"/>
              <w:rPr>
                <w:rFonts w:eastAsia="宋体"/>
                <w:color w:val="auto"/>
                <w:sz w:val="24"/>
                <w:szCs w:val="24"/>
              </w:rPr>
            </w:pPr>
            <w:r>
              <w:rPr>
                <w:rFonts w:eastAsia="宋体"/>
                <w:color w:val="auto"/>
                <w:sz w:val="24"/>
                <w:szCs w:val="24"/>
              </w:rPr>
              <w:t>本项目废水污染物情况见下表</w:t>
            </w:r>
            <w:r>
              <w:rPr>
                <w:rFonts w:hint="eastAsia" w:eastAsia="宋体"/>
                <w:color w:val="auto"/>
                <w:sz w:val="24"/>
                <w:szCs w:val="24"/>
              </w:rPr>
              <w:t>4-</w:t>
            </w:r>
            <w:r>
              <w:rPr>
                <w:rFonts w:hint="eastAsia" w:eastAsia="宋体"/>
                <w:color w:val="auto"/>
                <w:sz w:val="24"/>
                <w:szCs w:val="24"/>
                <w:lang w:val="en-US" w:eastAsia="zh-CN"/>
              </w:rPr>
              <w:t>5</w:t>
            </w:r>
            <w:r>
              <w:rPr>
                <w:rFonts w:hint="eastAsia" w:eastAsia="宋体"/>
                <w:color w:val="auto"/>
                <w:sz w:val="24"/>
                <w:szCs w:val="24"/>
              </w:rPr>
              <w:t>所示。</w:t>
            </w:r>
          </w:p>
          <w:p>
            <w:pPr>
              <w:adjustRightInd w:val="0"/>
              <w:spacing w:line="360" w:lineRule="auto"/>
              <w:jc w:val="center"/>
              <w:rPr>
                <w:rFonts w:hint="eastAsia"/>
                <w:b/>
                <w:color w:val="auto"/>
                <w:szCs w:val="21"/>
              </w:rPr>
            </w:pPr>
            <w:r>
              <w:rPr>
                <w:b/>
                <w:color w:val="auto"/>
                <w:szCs w:val="21"/>
              </w:rPr>
              <w:t>表</w:t>
            </w:r>
            <w:r>
              <w:rPr>
                <w:rFonts w:hint="eastAsia"/>
                <w:b/>
                <w:color w:val="auto"/>
                <w:szCs w:val="21"/>
              </w:rPr>
              <w:t>4-</w:t>
            </w:r>
            <w:r>
              <w:rPr>
                <w:rFonts w:hint="eastAsia"/>
                <w:b/>
                <w:color w:val="auto"/>
                <w:szCs w:val="21"/>
                <w:lang w:val="en-US" w:eastAsia="zh-CN"/>
              </w:rPr>
              <w:t>5</w:t>
            </w:r>
            <w:r>
              <w:rPr>
                <w:b/>
                <w:color w:val="auto"/>
                <w:szCs w:val="21"/>
              </w:rPr>
              <w:t xml:space="preserve">   水污染物情况一览表</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1"/>
              <w:gridCol w:w="1659"/>
              <w:gridCol w:w="673"/>
              <w:gridCol w:w="722"/>
              <w:gridCol w:w="588"/>
              <w:gridCol w:w="801"/>
              <w:gridCol w:w="572"/>
              <w:gridCol w:w="588"/>
              <w:gridCol w:w="1242"/>
              <w:gridCol w:w="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601" w:type="pct"/>
                  <w:gridSpan w:val="2"/>
                  <w:noWrap w:val="0"/>
                  <w:vAlign w:val="center"/>
                </w:tcPr>
                <w:p>
                  <w:pPr>
                    <w:jc w:val="center"/>
                    <w:rPr>
                      <w:b/>
                      <w:bCs/>
                      <w:color w:val="auto"/>
                      <w:szCs w:val="21"/>
                    </w:rPr>
                  </w:pPr>
                  <w:r>
                    <w:rPr>
                      <w:b/>
                      <w:bCs/>
                      <w:color w:val="auto"/>
                      <w:szCs w:val="21"/>
                    </w:rPr>
                    <w:t>项目</w:t>
                  </w:r>
                </w:p>
              </w:tc>
              <w:tc>
                <w:tcPr>
                  <w:tcW w:w="396" w:type="pct"/>
                  <w:noWrap w:val="0"/>
                  <w:vAlign w:val="center"/>
                </w:tcPr>
                <w:p>
                  <w:pPr>
                    <w:jc w:val="center"/>
                    <w:rPr>
                      <w:b/>
                      <w:bCs/>
                      <w:color w:val="auto"/>
                      <w:szCs w:val="21"/>
                    </w:rPr>
                  </w:pPr>
                  <w:r>
                    <w:rPr>
                      <w:b/>
                      <w:bCs/>
                      <w:color w:val="auto"/>
                      <w:szCs w:val="21"/>
                    </w:rPr>
                    <w:t>COD</w:t>
                  </w:r>
                </w:p>
              </w:tc>
              <w:tc>
                <w:tcPr>
                  <w:tcW w:w="425" w:type="pct"/>
                  <w:noWrap w:val="0"/>
                  <w:vAlign w:val="center"/>
                </w:tcPr>
                <w:p>
                  <w:pPr>
                    <w:jc w:val="center"/>
                    <w:rPr>
                      <w:b/>
                      <w:bCs/>
                      <w:color w:val="auto"/>
                      <w:szCs w:val="21"/>
                    </w:rPr>
                  </w:pPr>
                  <w:r>
                    <w:rPr>
                      <w:b/>
                      <w:bCs/>
                      <w:color w:val="auto"/>
                      <w:szCs w:val="21"/>
                    </w:rPr>
                    <w:t>BOD</w:t>
                  </w:r>
                  <w:r>
                    <w:rPr>
                      <w:b/>
                      <w:bCs/>
                      <w:color w:val="auto"/>
                      <w:szCs w:val="21"/>
                      <w:vertAlign w:val="subscript"/>
                    </w:rPr>
                    <w:t>5</w:t>
                  </w:r>
                </w:p>
              </w:tc>
              <w:tc>
                <w:tcPr>
                  <w:tcW w:w="346" w:type="pct"/>
                  <w:noWrap w:val="0"/>
                  <w:vAlign w:val="center"/>
                </w:tcPr>
                <w:p>
                  <w:pPr>
                    <w:jc w:val="center"/>
                    <w:rPr>
                      <w:b/>
                      <w:bCs/>
                      <w:color w:val="auto"/>
                      <w:szCs w:val="21"/>
                    </w:rPr>
                  </w:pPr>
                  <w:r>
                    <w:rPr>
                      <w:b/>
                      <w:bCs/>
                      <w:color w:val="auto"/>
                      <w:szCs w:val="21"/>
                    </w:rPr>
                    <w:t>SS</w:t>
                  </w:r>
                </w:p>
              </w:tc>
              <w:tc>
                <w:tcPr>
                  <w:tcW w:w="471" w:type="pct"/>
                  <w:noWrap w:val="0"/>
                  <w:vAlign w:val="center"/>
                </w:tcPr>
                <w:p>
                  <w:pPr>
                    <w:jc w:val="center"/>
                    <w:rPr>
                      <w:b/>
                      <w:bCs/>
                      <w:color w:val="auto"/>
                      <w:szCs w:val="21"/>
                    </w:rPr>
                  </w:pPr>
                  <w:r>
                    <w:rPr>
                      <w:b/>
                      <w:bCs/>
                      <w:color w:val="auto"/>
                      <w:szCs w:val="21"/>
                    </w:rPr>
                    <w:t>NH</w:t>
                  </w:r>
                  <w:r>
                    <w:rPr>
                      <w:b/>
                      <w:bCs/>
                      <w:color w:val="auto"/>
                      <w:szCs w:val="21"/>
                      <w:vertAlign w:val="subscript"/>
                    </w:rPr>
                    <w:t>3</w:t>
                  </w:r>
                  <w:r>
                    <w:rPr>
                      <w:b/>
                      <w:bCs/>
                      <w:color w:val="auto"/>
                      <w:szCs w:val="21"/>
                    </w:rPr>
                    <w:t>-N</w:t>
                  </w:r>
                </w:p>
              </w:tc>
              <w:tc>
                <w:tcPr>
                  <w:tcW w:w="336" w:type="pct"/>
                  <w:noWrap w:val="0"/>
                  <w:vAlign w:val="center"/>
                </w:tcPr>
                <w:p>
                  <w:pPr>
                    <w:jc w:val="center"/>
                    <w:rPr>
                      <w:rFonts w:hint="eastAsia"/>
                      <w:b/>
                      <w:bCs/>
                      <w:color w:val="auto"/>
                      <w:szCs w:val="21"/>
                    </w:rPr>
                  </w:pPr>
                  <w:r>
                    <w:rPr>
                      <w:rFonts w:hint="eastAsia"/>
                      <w:b/>
                      <w:bCs/>
                      <w:color w:val="auto"/>
                      <w:szCs w:val="21"/>
                    </w:rPr>
                    <w:t>总磷</w:t>
                  </w:r>
                </w:p>
              </w:tc>
              <w:tc>
                <w:tcPr>
                  <w:tcW w:w="346" w:type="pct"/>
                  <w:noWrap w:val="0"/>
                  <w:vAlign w:val="center"/>
                </w:tcPr>
                <w:p>
                  <w:pPr>
                    <w:jc w:val="center"/>
                    <w:rPr>
                      <w:rFonts w:hint="eastAsia"/>
                      <w:b/>
                      <w:bCs/>
                      <w:color w:val="auto"/>
                      <w:szCs w:val="21"/>
                    </w:rPr>
                  </w:pPr>
                  <w:r>
                    <w:rPr>
                      <w:rFonts w:hint="eastAsia"/>
                      <w:b/>
                      <w:bCs/>
                      <w:color w:val="auto"/>
                      <w:szCs w:val="21"/>
                    </w:rPr>
                    <w:t>总氮</w:t>
                  </w:r>
                </w:p>
              </w:tc>
              <w:tc>
                <w:tcPr>
                  <w:tcW w:w="658" w:type="pct"/>
                  <w:noWrap w:val="0"/>
                  <w:vAlign w:val="center"/>
                </w:tcPr>
                <w:p>
                  <w:pPr>
                    <w:jc w:val="center"/>
                    <w:rPr>
                      <w:b/>
                      <w:bCs/>
                      <w:color w:val="auto"/>
                      <w:szCs w:val="21"/>
                    </w:rPr>
                  </w:pPr>
                  <w:r>
                    <w:rPr>
                      <w:b/>
                      <w:bCs/>
                      <w:color w:val="auto"/>
                      <w:szCs w:val="21"/>
                    </w:rPr>
                    <w:t>粪大肠菌</w:t>
                  </w:r>
                  <w:r>
                    <w:rPr>
                      <w:rFonts w:hint="eastAsia"/>
                      <w:b/>
                      <w:bCs/>
                      <w:color w:val="auto"/>
                      <w:szCs w:val="21"/>
                    </w:rPr>
                    <w:t>群</w:t>
                  </w:r>
                  <w:r>
                    <w:rPr>
                      <w:b/>
                      <w:bCs/>
                      <w:color w:val="auto"/>
                      <w:szCs w:val="21"/>
                    </w:rPr>
                    <w:t>（个/L）</w:t>
                  </w:r>
                </w:p>
              </w:tc>
              <w:tc>
                <w:tcPr>
                  <w:tcW w:w="419" w:type="pct"/>
                  <w:noWrap w:val="0"/>
                  <w:vAlign w:val="center"/>
                </w:tcPr>
                <w:p>
                  <w:pPr>
                    <w:jc w:val="center"/>
                    <w:rPr>
                      <w:rFonts w:hint="eastAsia" w:eastAsia="宋体"/>
                      <w:b/>
                      <w:bCs/>
                      <w:color w:val="auto"/>
                      <w:szCs w:val="21"/>
                      <w:lang w:val="en-US" w:eastAsia="zh-CN"/>
                    </w:rPr>
                  </w:pPr>
                  <w:r>
                    <w:rPr>
                      <w:rFonts w:hint="eastAsia"/>
                      <w:b/>
                      <w:bCs/>
                      <w:color w:val="auto"/>
                      <w:szCs w:val="21"/>
                      <w:lang w:val="en-US" w:eastAsia="zh-CN"/>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601" w:type="pct"/>
                  <w:gridSpan w:val="2"/>
                  <w:noWrap w:val="0"/>
                  <w:vAlign w:val="center"/>
                </w:tcPr>
                <w:p>
                  <w:pPr>
                    <w:jc w:val="center"/>
                    <w:rPr>
                      <w:color w:val="auto"/>
                      <w:szCs w:val="21"/>
                    </w:rPr>
                  </w:pPr>
                  <w:r>
                    <w:rPr>
                      <w:color w:val="auto"/>
                      <w:szCs w:val="21"/>
                    </w:rPr>
                    <w:t>混合废水（</w:t>
                  </w:r>
                  <w:r>
                    <w:rPr>
                      <w:rFonts w:hint="eastAsia"/>
                      <w:color w:val="auto"/>
                      <w:szCs w:val="21"/>
                      <w:lang w:val="en-US" w:eastAsia="zh-CN"/>
                    </w:rPr>
                    <w:t>14588.32</w:t>
                  </w:r>
                  <w:r>
                    <w:rPr>
                      <w:color w:val="auto"/>
                      <w:szCs w:val="21"/>
                    </w:rPr>
                    <w:t>m</w:t>
                  </w:r>
                  <w:r>
                    <w:rPr>
                      <w:color w:val="auto"/>
                      <w:szCs w:val="21"/>
                      <w:vertAlign w:val="superscript"/>
                    </w:rPr>
                    <w:t>3</w:t>
                  </w:r>
                  <w:r>
                    <w:rPr>
                      <w:color w:val="auto"/>
                      <w:szCs w:val="21"/>
                    </w:rPr>
                    <w:t>/a）</w:t>
                  </w:r>
                </w:p>
                <w:p>
                  <w:pPr>
                    <w:jc w:val="center"/>
                    <w:rPr>
                      <w:rFonts w:hint="eastAsia"/>
                      <w:color w:val="auto"/>
                      <w:szCs w:val="21"/>
                    </w:rPr>
                  </w:pPr>
                  <w:r>
                    <w:rPr>
                      <w:color w:val="auto"/>
                      <w:szCs w:val="21"/>
                    </w:rPr>
                    <w:t>混合浓度(mg/L)</w:t>
                  </w:r>
                </w:p>
              </w:tc>
              <w:tc>
                <w:tcPr>
                  <w:tcW w:w="396"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409.8</w:t>
                  </w:r>
                </w:p>
              </w:tc>
              <w:tc>
                <w:tcPr>
                  <w:tcW w:w="425"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204.9</w:t>
                  </w:r>
                </w:p>
              </w:tc>
              <w:tc>
                <w:tcPr>
                  <w:tcW w:w="346"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187</w:t>
                  </w:r>
                </w:p>
              </w:tc>
              <w:tc>
                <w:tcPr>
                  <w:tcW w:w="471"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35.3</w:t>
                  </w:r>
                </w:p>
              </w:tc>
              <w:tc>
                <w:tcPr>
                  <w:tcW w:w="336"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4.6</w:t>
                  </w:r>
                </w:p>
              </w:tc>
              <w:tc>
                <w:tcPr>
                  <w:tcW w:w="346"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37.3</w:t>
                  </w:r>
                </w:p>
              </w:tc>
              <w:tc>
                <w:tcPr>
                  <w:tcW w:w="658"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1.5</w:t>
                  </w:r>
                  <w:r>
                    <w:rPr>
                      <w:color w:val="auto"/>
                      <w:szCs w:val="21"/>
                    </w:rPr>
                    <w:t>×10</w:t>
                  </w:r>
                  <w:r>
                    <w:rPr>
                      <w:rFonts w:hint="eastAsia"/>
                      <w:color w:val="auto"/>
                      <w:szCs w:val="21"/>
                      <w:vertAlign w:val="superscript"/>
                      <w:lang w:val="en-US" w:eastAsia="zh-CN"/>
                    </w:rPr>
                    <w:t>7</w:t>
                  </w:r>
                </w:p>
              </w:tc>
              <w:tc>
                <w:tcPr>
                  <w:tcW w:w="419" w:type="pct"/>
                  <w:noWrap w:val="0"/>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601" w:type="pct"/>
                  <w:gridSpan w:val="2"/>
                  <w:noWrap w:val="0"/>
                  <w:vAlign w:val="center"/>
                </w:tcPr>
                <w:p>
                  <w:pPr>
                    <w:jc w:val="center"/>
                    <w:rPr>
                      <w:color w:val="auto"/>
                      <w:szCs w:val="21"/>
                    </w:rPr>
                  </w:pPr>
                  <w:r>
                    <w:rPr>
                      <w:color w:val="auto"/>
                      <w:szCs w:val="21"/>
                    </w:rPr>
                    <w:t>产生量（t/a）</w:t>
                  </w:r>
                </w:p>
              </w:tc>
              <w:tc>
                <w:tcPr>
                  <w:tcW w:w="396" w:type="pct"/>
                  <w:noWrap w:val="0"/>
                  <w:vAlign w:val="center"/>
                </w:tcPr>
                <w:p>
                  <w:pPr>
                    <w:pStyle w:val="62"/>
                    <w:ind w:firstLine="0" w:firstLineChars="0"/>
                    <w:rPr>
                      <w:rFonts w:hint="eastAsia" w:ascii="Times New Roman" w:hAnsi="Times New Roman" w:eastAsia="宋体" w:cs="Times New Roman"/>
                      <w:color w:val="auto"/>
                      <w:kern w:val="44"/>
                      <w:sz w:val="21"/>
                      <w:szCs w:val="21"/>
                      <w:lang w:val="en-US" w:eastAsia="zh-CN" w:bidi="ar-SA"/>
                    </w:rPr>
                  </w:pPr>
                  <w:r>
                    <w:rPr>
                      <w:rFonts w:hint="eastAsia"/>
                      <w:color w:val="auto"/>
                      <w:szCs w:val="21"/>
                      <w:lang w:val="en-US" w:eastAsia="zh-CN"/>
                    </w:rPr>
                    <w:t>5.98</w:t>
                  </w:r>
                </w:p>
              </w:tc>
              <w:tc>
                <w:tcPr>
                  <w:tcW w:w="425" w:type="pct"/>
                  <w:noWrap w:val="0"/>
                  <w:vAlign w:val="center"/>
                </w:tcPr>
                <w:p>
                  <w:pPr>
                    <w:pStyle w:val="62"/>
                    <w:ind w:firstLine="0" w:firstLineChars="0"/>
                    <w:rPr>
                      <w:rFonts w:hint="eastAsia" w:ascii="Times New Roman" w:hAnsi="Times New Roman" w:eastAsia="宋体" w:cs="Times New Roman"/>
                      <w:color w:val="auto"/>
                      <w:kern w:val="44"/>
                      <w:sz w:val="21"/>
                      <w:szCs w:val="21"/>
                      <w:lang w:val="en-US" w:eastAsia="zh-CN" w:bidi="ar-SA"/>
                    </w:rPr>
                  </w:pPr>
                  <w:r>
                    <w:rPr>
                      <w:rFonts w:hint="eastAsia"/>
                      <w:color w:val="auto"/>
                      <w:szCs w:val="21"/>
                      <w:lang w:val="en-US" w:eastAsia="zh-CN"/>
                    </w:rPr>
                    <w:t>2.99</w:t>
                  </w:r>
                </w:p>
              </w:tc>
              <w:tc>
                <w:tcPr>
                  <w:tcW w:w="346" w:type="pct"/>
                  <w:noWrap w:val="0"/>
                  <w:vAlign w:val="center"/>
                </w:tcPr>
                <w:p>
                  <w:pPr>
                    <w:pStyle w:val="62"/>
                    <w:ind w:firstLine="0" w:firstLineChars="0"/>
                    <w:rPr>
                      <w:rFonts w:hint="eastAsia" w:ascii="Times New Roman" w:hAnsi="Times New Roman" w:eastAsia="宋体" w:cs="Times New Roman"/>
                      <w:color w:val="auto"/>
                      <w:kern w:val="44"/>
                      <w:sz w:val="21"/>
                      <w:szCs w:val="21"/>
                      <w:lang w:val="en-US" w:eastAsia="zh-CN" w:bidi="ar-SA"/>
                    </w:rPr>
                  </w:pPr>
                  <w:r>
                    <w:rPr>
                      <w:rFonts w:hint="eastAsia"/>
                      <w:color w:val="auto"/>
                      <w:szCs w:val="21"/>
                      <w:lang w:val="en-US" w:eastAsia="zh-CN"/>
                    </w:rPr>
                    <w:t>2.73</w:t>
                  </w:r>
                </w:p>
              </w:tc>
              <w:tc>
                <w:tcPr>
                  <w:tcW w:w="471" w:type="pct"/>
                  <w:noWrap w:val="0"/>
                  <w:vAlign w:val="center"/>
                </w:tcPr>
                <w:p>
                  <w:pPr>
                    <w:pStyle w:val="62"/>
                    <w:ind w:firstLine="0" w:firstLineChars="0"/>
                    <w:rPr>
                      <w:rFonts w:hint="eastAsia" w:ascii="Times New Roman" w:hAnsi="Times New Roman" w:eastAsia="宋体" w:cs="Times New Roman"/>
                      <w:color w:val="auto"/>
                      <w:kern w:val="44"/>
                      <w:sz w:val="21"/>
                      <w:szCs w:val="21"/>
                      <w:lang w:val="en-US" w:eastAsia="zh-CN" w:bidi="ar-SA"/>
                    </w:rPr>
                  </w:pPr>
                  <w:r>
                    <w:rPr>
                      <w:rFonts w:hint="eastAsia"/>
                      <w:color w:val="auto"/>
                      <w:szCs w:val="21"/>
                      <w:lang w:val="en-US" w:eastAsia="zh-CN"/>
                    </w:rPr>
                    <w:t>0.51</w:t>
                  </w:r>
                </w:p>
              </w:tc>
              <w:tc>
                <w:tcPr>
                  <w:tcW w:w="336" w:type="pct"/>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rFonts w:hint="eastAsia"/>
                      <w:color w:val="auto"/>
                      <w:szCs w:val="21"/>
                      <w:lang w:val="en-US" w:eastAsia="zh-CN"/>
                    </w:rPr>
                    <w:t>0.07</w:t>
                  </w:r>
                </w:p>
              </w:tc>
              <w:tc>
                <w:tcPr>
                  <w:tcW w:w="346" w:type="pct"/>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rFonts w:hint="eastAsia"/>
                      <w:color w:val="auto"/>
                      <w:szCs w:val="21"/>
                      <w:lang w:val="en-US" w:eastAsia="zh-CN"/>
                    </w:rPr>
                    <w:t>0.55</w:t>
                  </w:r>
                </w:p>
              </w:tc>
              <w:tc>
                <w:tcPr>
                  <w:tcW w:w="658" w:type="pct"/>
                  <w:noWrap w:val="0"/>
                  <w:vAlign w:val="center"/>
                </w:tcPr>
                <w:p>
                  <w:pPr>
                    <w:pStyle w:val="62"/>
                    <w:ind w:firstLine="0" w:firstLineChars="0"/>
                    <w:rPr>
                      <w:rFonts w:hint="eastAsia" w:ascii="Times New Roman" w:hAnsi="Times New Roman" w:eastAsia="宋体" w:cs="Times New Roman"/>
                      <w:color w:val="auto"/>
                      <w:kern w:val="44"/>
                      <w:sz w:val="21"/>
                      <w:szCs w:val="21"/>
                      <w:lang w:val="en-US" w:eastAsia="zh-CN" w:bidi="ar-SA"/>
                    </w:rPr>
                  </w:pPr>
                  <w:r>
                    <w:rPr>
                      <w:rFonts w:hint="eastAsia"/>
                      <w:color w:val="auto"/>
                      <w:szCs w:val="21"/>
                      <w:lang w:val="en-US" w:eastAsia="zh-CN"/>
                    </w:rPr>
                    <w:t>/</w:t>
                  </w:r>
                </w:p>
              </w:tc>
              <w:tc>
                <w:tcPr>
                  <w:tcW w:w="419" w:type="pct"/>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rFonts w:hint="eastAsia"/>
                      <w:color w:val="auto"/>
                      <w:szCs w:val="21"/>
                      <w:lang w:val="en-US" w:eastAsia="zh-CN"/>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601" w:type="pct"/>
                  <w:gridSpan w:val="2"/>
                  <w:noWrap w:val="0"/>
                  <w:vAlign w:val="center"/>
                </w:tcPr>
                <w:p>
                  <w:pPr>
                    <w:jc w:val="center"/>
                    <w:rPr>
                      <w:color w:val="auto"/>
                      <w:szCs w:val="21"/>
                    </w:rPr>
                  </w:pPr>
                  <w:r>
                    <w:rPr>
                      <w:color w:val="auto"/>
                      <w:szCs w:val="21"/>
                    </w:rPr>
                    <w:t>处理措施</w:t>
                  </w:r>
                </w:p>
              </w:tc>
              <w:tc>
                <w:tcPr>
                  <w:tcW w:w="3398" w:type="pct"/>
                  <w:gridSpan w:val="8"/>
                  <w:noWrap w:val="0"/>
                  <w:vAlign w:val="center"/>
                </w:tcPr>
                <w:p>
                  <w:pPr>
                    <w:jc w:val="center"/>
                    <w:rPr>
                      <w:rFonts w:hint="eastAsia" w:eastAsia="宋体"/>
                      <w:bCs/>
                      <w:color w:val="auto"/>
                      <w:szCs w:val="21"/>
                      <w:lang w:val="en-US" w:eastAsia="zh-CN"/>
                    </w:rPr>
                  </w:pPr>
                  <w:r>
                    <w:rPr>
                      <w:rFonts w:hint="eastAsia"/>
                      <w:bCs/>
                      <w:color w:val="auto"/>
                      <w:szCs w:val="21"/>
                      <w:lang w:val="en-US" w:eastAsia="zh-CN"/>
                    </w:rPr>
                    <w:t>食堂废水隔油池后与其他废水经</w:t>
                  </w:r>
                  <w:r>
                    <w:rPr>
                      <w:bCs/>
                      <w:color w:val="auto"/>
                      <w:szCs w:val="21"/>
                    </w:rPr>
                    <w:t>“</w:t>
                  </w:r>
                  <w:r>
                    <w:rPr>
                      <w:rFonts w:hint="eastAsia"/>
                      <w:bCs/>
                      <w:color w:val="auto"/>
                      <w:szCs w:val="21"/>
                      <w:lang w:val="en-US" w:eastAsia="zh-CN"/>
                    </w:rPr>
                    <w:t>化粪池+</w:t>
                  </w:r>
                  <w:r>
                    <w:rPr>
                      <w:rFonts w:hint="eastAsia"/>
                      <w:color w:val="auto"/>
                      <w:szCs w:val="21"/>
                      <w:lang w:eastAsia="zh-CN"/>
                    </w:rPr>
                    <w:t>预处理+ A/O工艺+加次氯酸钠消毒</w:t>
                  </w:r>
                  <w:r>
                    <w:rPr>
                      <w:bCs/>
                      <w:color w:val="auto"/>
                      <w:szCs w:val="21"/>
                    </w:rPr>
                    <w:t>”</w:t>
                  </w:r>
                  <w:r>
                    <w:rPr>
                      <w:rFonts w:hint="eastAsia"/>
                      <w:bCs/>
                      <w:color w:val="auto"/>
                      <w:szCs w:val="21"/>
                      <w:lang w:val="en-US" w:eastAsia="zh-CN"/>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601" w:type="pct"/>
                  <w:gridSpan w:val="2"/>
                  <w:noWrap w:val="0"/>
                  <w:vAlign w:val="center"/>
                </w:tcPr>
                <w:p>
                  <w:pPr>
                    <w:jc w:val="center"/>
                    <w:rPr>
                      <w:rFonts w:hint="eastAsia"/>
                      <w:color w:val="auto"/>
                      <w:szCs w:val="21"/>
                    </w:rPr>
                  </w:pPr>
                  <w:r>
                    <w:rPr>
                      <w:rFonts w:hint="eastAsia"/>
                      <w:color w:val="auto"/>
                      <w:szCs w:val="21"/>
                    </w:rPr>
                    <w:t>去除效率</w:t>
                  </w:r>
                </w:p>
              </w:tc>
              <w:tc>
                <w:tcPr>
                  <w:tcW w:w="396" w:type="pct"/>
                  <w:noWrap w:val="0"/>
                  <w:vAlign w:val="center"/>
                </w:tcPr>
                <w:p>
                  <w:pPr>
                    <w:jc w:val="center"/>
                    <w:rPr>
                      <w:color w:val="auto"/>
                      <w:szCs w:val="21"/>
                    </w:rPr>
                  </w:pPr>
                  <w:r>
                    <w:rPr>
                      <w:rFonts w:hint="eastAsia"/>
                      <w:color w:val="auto"/>
                      <w:szCs w:val="21"/>
                      <w:lang w:val="en-US" w:eastAsia="zh-CN"/>
                    </w:rPr>
                    <w:t>80</w:t>
                  </w:r>
                  <w:r>
                    <w:rPr>
                      <w:rFonts w:hint="eastAsia"/>
                      <w:color w:val="auto"/>
                      <w:szCs w:val="21"/>
                    </w:rPr>
                    <w:t>%</w:t>
                  </w:r>
                </w:p>
              </w:tc>
              <w:tc>
                <w:tcPr>
                  <w:tcW w:w="425" w:type="pct"/>
                  <w:noWrap w:val="0"/>
                  <w:vAlign w:val="center"/>
                </w:tcPr>
                <w:p>
                  <w:pPr>
                    <w:jc w:val="center"/>
                    <w:rPr>
                      <w:color w:val="auto"/>
                      <w:szCs w:val="21"/>
                    </w:rPr>
                  </w:pPr>
                  <w:r>
                    <w:rPr>
                      <w:rFonts w:hint="eastAsia"/>
                      <w:color w:val="auto"/>
                      <w:szCs w:val="21"/>
                      <w:lang w:val="en-US" w:eastAsia="zh-CN"/>
                    </w:rPr>
                    <w:t>87</w:t>
                  </w:r>
                  <w:r>
                    <w:rPr>
                      <w:rFonts w:hint="eastAsia"/>
                      <w:color w:val="auto"/>
                      <w:szCs w:val="21"/>
                    </w:rPr>
                    <w:t>%</w:t>
                  </w:r>
                </w:p>
              </w:tc>
              <w:tc>
                <w:tcPr>
                  <w:tcW w:w="346" w:type="pct"/>
                  <w:noWrap w:val="0"/>
                  <w:vAlign w:val="center"/>
                </w:tcPr>
                <w:p>
                  <w:pPr>
                    <w:jc w:val="center"/>
                    <w:rPr>
                      <w:color w:val="auto"/>
                      <w:szCs w:val="21"/>
                    </w:rPr>
                  </w:pPr>
                  <w:r>
                    <w:rPr>
                      <w:rFonts w:hint="eastAsia"/>
                      <w:color w:val="auto"/>
                      <w:szCs w:val="21"/>
                      <w:lang w:val="en-US" w:eastAsia="zh-CN"/>
                    </w:rPr>
                    <w:t>83</w:t>
                  </w:r>
                  <w:r>
                    <w:rPr>
                      <w:rFonts w:hint="eastAsia"/>
                      <w:color w:val="auto"/>
                      <w:szCs w:val="21"/>
                    </w:rPr>
                    <w:t>%</w:t>
                  </w:r>
                </w:p>
              </w:tc>
              <w:tc>
                <w:tcPr>
                  <w:tcW w:w="471" w:type="pct"/>
                  <w:noWrap w:val="0"/>
                  <w:vAlign w:val="center"/>
                </w:tcPr>
                <w:p>
                  <w:pPr>
                    <w:jc w:val="center"/>
                    <w:rPr>
                      <w:color w:val="auto"/>
                      <w:szCs w:val="21"/>
                    </w:rPr>
                  </w:pPr>
                  <w:r>
                    <w:rPr>
                      <w:rFonts w:hint="eastAsia"/>
                      <w:color w:val="auto"/>
                      <w:szCs w:val="21"/>
                      <w:lang w:val="en-US" w:eastAsia="zh-CN"/>
                    </w:rPr>
                    <w:t>62.5</w:t>
                  </w:r>
                  <w:r>
                    <w:rPr>
                      <w:rFonts w:hint="eastAsia"/>
                      <w:color w:val="auto"/>
                      <w:szCs w:val="21"/>
                    </w:rPr>
                    <w:t>%</w:t>
                  </w:r>
                </w:p>
              </w:tc>
              <w:tc>
                <w:tcPr>
                  <w:tcW w:w="336" w:type="pct"/>
                  <w:noWrap w:val="0"/>
                  <w:vAlign w:val="center"/>
                </w:tcPr>
                <w:p>
                  <w:pPr>
                    <w:jc w:val="center"/>
                    <w:rPr>
                      <w:rFonts w:hint="eastAsia"/>
                      <w:color w:val="auto"/>
                      <w:szCs w:val="21"/>
                    </w:rPr>
                  </w:pPr>
                  <w:r>
                    <w:rPr>
                      <w:rFonts w:hint="eastAsia"/>
                      <w:color w:val="auto"/>
                      <w:szCs w:val="21"/>
                      <w:lang w:val="en-US" w:eastAsia="zh-CN"/>
                    </w:rPr>
                    <w:t>0</w:t>
                  </w:r>
                  <w:r>
                    <w:rPr>
                      <w:rFonts w:hint="eastAsia"/>
                      <w:color w:val="auto"/>
                      <w:szCs w:val="21"/>
                    </w:rPr>
                    <w:t>%</w:t>
                  </w:r>
                </w:p>
              </w:tc>
              <w:tc>
                <w:tcPr>
                  <w:tcW w:w="346" w:type="pct"/>
                  <w:noWrap w:val="0"/>
                  <w:vAlign w:val="center"/>
                </w:tcPr>
                <w:p>
                  <w:pPr>
                    <w:jc w:val="center"/>
                    <w:rPr>
                      <w:rFonts w:hint="eastAsia"/>
                      <w:color w:val="auto"/>
                      <w:szCs w:val="21"/>
                    </w:rPr>
                  </w:pPr>
                  <w:r>
                    <w:rPr>
                      <w:rFonts w:hint="eastAsia"/>
                      <w:color w:val="auto"/>
                      <w:szCs w:val="21"/>
                      <w:lang w:val="en-US" w:eastAsia="zh-CN"/>
                    </w:rPr>
                    <w:t>55</w:t>
                  </w:r>
                  <w:r>
                    <w:rPr>
                      <w:rFonts w:hint="eastAsia"/>
                      <w:color w:val="auto"/>
                      <w:szCs w:val="21"/>
                    </w:rPr>
                    <w:t>%</w:t>
                  </w:r>
                </w:p>
              </w:tc>
              <w:tc>
                <w:tcPr>
                  <w:tcW w:w="658" w:type="pct"/>
                  <w:noWrap w:val="0"/>
                  <w:vAlign w:val="center"/>
                </w:tcPr>
                <w:p>
                  <w:pPr>
                    <w:jc w:val="center"/>
                    <w:rPr>
                      <w:rFonts w:hint="default" w:eastAsia="宋体"/>
                      <w:color w:val="auto"/>
                      <w:szCs w:val="21"/>
                      <w:lang w:val="en-US" w:eastAsia="zh-CN"/>
                    </w:rPr>
                  </w:pPr>
                  <w:r>
                    <w:rPr>
                      <w:rFonts w:hint="eastAsia"/>
                      <w:color w:val="auto"/>
                      <w:szCs w:val="21"/>
                      <w:lang w:val="en-US" w:eastAsia="zh-CN"/>
                    </w:rPr>
                    <w:t>99.99%</w:t>
                  </w:r>
                </w:p>
              </w:tc>
              <w:tc>
                <w:tcPr>
                  <w:tcW w:w="419" w:type="pct"/>
                  <w:noWrap w:val="0"/>
                  <w:vAlign w:val="center"/>
                </w:tcPr>
                <w:p>
                  <w:pPr>
                    <w:jc w:val="center"/>
                    <w:rPr>
                      <w:rFonts w:hint="default" w:eastAsia="宋体"/>
                      <w:color w:val="auto"/>
                      <w:szCs w:val="21"/>
                      <w:lang w:val="en-US" w:eastAsia="zh-CN"/>
                    </w:rPr>
                  </w:pPr>
                  <w:r>
                    <w:rPr>
                      <w:rFonts w:hint="eastAsia"/>
                      <w:color w:val="auto"/>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601" w:type="pct"/>
                  <w:gridSpan w:val="2"/>
                  <w:noWrap w:val="0"/>
                  <w:vAlign w:val="center"/>
                </w:tcPr>
                <w:p>
                  <w:pPr>
                    <w:jc w:val="center"/>
                    <w:rPr>
                      <w:color w:val="auto"/>
                      <w:szCs w:val="21"/>
                    </w:rPr>
                  </w:pPr>
                  <w:r>
                    <w:rPr>
                      <w:color w:val="auto"/>
                      <w:szCs w:val="21"/>
                    </w:rPr>
                    <w:t>混合废水（</w:t>
                  </w:r>
                  <w:r>
                    <w:rPr>
                      <w:rFonts w:hint="eastAsia"/>
                      <w:color w:val="auto"/>
                      <w:szCs w:val="21"/>
                      <w:lang w:val="en-US" w:eastAsia="zh-CN"/>
                    </w:rPr>
                    <w:t>14588.32</w:t>
                  </w:r>
                  <w:r>
                    <w:rPr>
                      <w:color w:val="auto"/>
                      <w:szCs w:val="21"/>
                    </w:rPr>
                    <w:t>m</w:t>
                  </w:r>
                  <w:r>
                    <w:rPr>
                      <w:color w:val="auto"/>
                      <w:szCs w:val="21"/>
                      <w:vertAlign w:val="superscript"/>
                    </w:rPr>
                    <w:t>3</w:t>
                  </w:r>
                  <w:r>
                    <w:rPr>
                      <w:color w:val="auto"/>
                      <w:szCs w:val="21"/>
                    </w:rPr>
                    <w:t>/a）</w:t>
                  </w:r>
                </w:p>
                <w:p>
                  <w:pPr>
                    <w:jc w:val="center"/>
                    <w:rPr>
                      <w:color w:val="auto"/>
                      <w:szCs w:val="21"/>
                    </w:rPr>
                  </w:pPr>
                  <w:r>
                    <w:rPr>
                      <w:color w:val="auto"/>
                      <w:szCs w:val="21"/>
                    </w:rPr>
                    <w:t>排放浓度(mg/L)</w:t>
                  </w:r>
                </w:p>
              </w:tc>
              <w:tc>
                <w:tcPr>
                  <w:tcW w:w="396" w:type="pct"/>
                  <w:noWrap w:val="0"/>
                  <w:vAlign w:val="center"/>
                </w:tcPr>
                <w:p>
                  <w:pPr>
                    <w:jc w:val="center"/>
                    <w:rPr>
                      <w:rFonts w:hint="default"/>
                      <w:color w:val="auto"/>
                      <w:szCs w:val="21"/>
                      <w:lang w:val="en-US" w:eastAsia="zh-CN"/>
                    </w:rPr>
                  </w:pPr>
                  <w:r>
                    <w:rPr>
                      <w:rFonts w:hint="eastAsia"/>
                      <w:color w:val="auto"/>
                      <w:szCs w:val="21"/>
                      <w:lang w:val="en-US" w:eastAsia="zh-CN"/>
                    </w:rPr>
                    <w:t>82</w:t>
                  </w:r>
                </w:p>
              </w:tc>
              <w:tc>
                <w:tcPr>
                  <w:tcW w:w="425" w:type="pct"/>
                  <w:noWrap w:val="0"/>
                  <w:vAlign w:val="center"/>
                </w:tcPr>
                <w:p>
                  <w:pPr>
                    <w:jc w:val="center"/>
                    <w:rPr>
                      <w:rFonts w:hint="default"/>
                      <w:color w:val="auto"/>
                      <w:szCs w:val="21"/>
                      <w:lang w:val="en-US" w:eastAsia="zh-CN"/>
                    </w:rPr>
                  </w:pPr>
                  <w:r>
                    <w:rPr>
                      <w:rFonts w:hint="eastAsia"/>
                      <w:color w:val="auto"/>
                      <w:szCs w:val="21"/>
                      <w:lang w:val="en-US" w:eastAsia="zh-CN"/>
                    </w:rPr>
                    <w:t>26.7</w:t>
                  </w:r>
                </w:p>
              </w:tc>
              <w:tc>
                <w:tcPr>
                  <w:tcW w:w="346" w:type="pct"/>
                  <w:noWrap w:val="0"/>
                  <w:vAlign w:val="center"/>
                </w:tcPr>
                <w:p>
                  <w:pPr>
                    <w:jc w:val="center"/>
                    <w:rPr>
                      <w:rFonts w:hint="default"/>
                      <w:color w:val="auto"/>
                      <w:szCs w:val="21"/>
                      <w:lang w:val="en-US" w:eastAsia="zh-CN"/>
                    </w:rPr>
                  </w:pPr>
                  <w:r>
                    <w:rPr>
                      <w:rFonts w:hint="eastAsia"/>
                      <w:color w:val="auto"/>
                      <w:szCs w:val="21"/>
                      <w:lang w:val="en-US" w:eastAsia="zh-CN"/>
                    </w:rPr>
                    <w:t>31.8</w:t>
                  </w:r>
                </w:p>
              </w:tc>
              <w:tc>
                <w:tcPr>
                  <w:tcW w:w="471" w:type="pct"/>
                  <w:noWrap w:val="0"/>
                  <w:vAlign w:val="center"/>
                </w:tcPr>
                <w:p>
                  <w:pPr>
                    <w:jc w:val="center"/>
                    <w:rPr>
                      <w:rFonts w:hint="default"/>
                      <w:color w:val="auto"/>
                      <w:szCs w:val="21"/>
                      <w:lang w:val="en-US" w:eastAsia="zh-CN"/>
                    </w:rPr>
                  </w:pPr>
                  <w:r>
                    <w:rPr>
                      <w:rFonts w:hint="eastAsia"/>
                      <w:color w:val="auto"/>
                      <w:szCs w:val="21"/>
                      <w:lang w:val="en-US" w:eastAsia="zh-CN"/>
                    </w:rPr>
                    <w:t>13.1</w:t>
                  </w:r>
                </w:p>
              </w:tc>
              <w:tc>
                <w:tcPr>
                  <w:tcW w:w="336" w:type="pct"/>
                  <w:noWrap w:val="0"/>
                  <w:vAlign w:val="center"/>
                </w:tcPr>
                <w:p>
                  <w:pPr>
                    <w:jc w:val="center"/>
                    <w:rPr>
                      <w:rFonts w:hint="default"/>
                      <w:color w:val="auto"/>
                      <w:szCs w:val="21"/>
                      <w:lang w:val="en-US" w:eastAsia="zh-CN"/>
                    </w:rPr>
                  </w:pPr>
                  <w:r>
                    <w:rPr>
                      <w:rFonts w:hint="eastAsia"/>
                      <w:color w:val="auto"/>
                      <w:szCs w:val="21"/>
                      <w:lang w:val="en-US" w:eastAsia="zh-CN"/>
                    </w:rPr>
                    <w:t>4.6</w:t>
                  </w:r>
                </w:p>
              </w:tc>
              <w:tc>
                <w:tcPr>
                  <w:tcW w:w="346" w:type="pct"/>
                  <w:noWrap w:val="0"/>
                  <w:vAlign w:val="center"/>
                </w:tcPr>
                <w:p>
                  <w:pPr>
                    <w:jc w:val="center"/>
                    <w:rPr>
                      <w:rFonts w:hint="default"/>
                      <w:color w:val="auto"/>
                      <w:szCs w:val="21"/>
                      <w:lang w:val="en-US" w:eastAsia="zh-CN"/>
                    </w:rPr>
                  </w:pPr>
                  <w:r>
                    <w:rPr>
                      <w:rFonts w:hint="eastAsia"/>
                      <w:color w:val="auto"/>
                      <w:szCs w:val="21"/>
                      <w:lang w:val="en-US" w:eastAsia="zh-CN"/>
                    </w:rPr>
                    <w:t>16.8</w:t>
                  </w:r>
                </w:p>
              </w:tc>
              <w:tc>
                <w:tcPr>
                  <w:tcW w:w="658" w:type="pct"/>
                  <w:noWrap w:val="0"/>
                  <w:vAlign w:val="center"/>
                </w:tcPr>
                <w:p>
                  <w:pPr>
                    <w:jc w:val="center"/>
                    <w:rPr>
                      <w:rFonts w:hint="default" w:eastAsia="宋体"/>
                      <w:color w:val="auto"/>
                      <w:szCs w:val="21"/>
                      <w:lang w:val="en-US" w:eastAsia="zh-CN"/>
                    </w:rPr>
                  </w:pPr>
                  <w:r>
                    <w:rPr>
                      <w:rFonts w:hint="eastAsia"/>
                      <w:color w:val="auto"/>
                      <w:szCs w:val="21"/>
                      <w:lang w:val="en-US" w:eastAsia="zh-CN"/>
                    </w:rPr>
                    <w:t>1500</w:t>
                  </w:r>
                </w:p>
              </w:tc>
              <w:tc>
                <w:tcPr>
                  <w:tcW w:w="419" w:type="pct"/>
                  <w:noWrap w:val="0"/>
                  <w:vAlign w:val="center"/>
                </w:tcPr>
                <w:p>
                  <w:pPr>
                    <w:jc w:val="center"/>
                    <w:rPr>
                      <w:rFonts w:hint="default" w:eastAsia="宋体"/>
                      <w:color w:val="auto"/>
                      <w:szCs w:val="21"/>
                      <w:lang w:val="en-US" w:eastAsia="zh-CN"/>
                    </w:rPr>
                  </w:pPr>
                  <w:r>
                    <w:rPr>
                      <w:rFonts w:hint="eastAsia"/>
                      <w:color w:val="auto"/>
                      <w:szCs w:val="21"/>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601" w:type="pct"/>
                  <w:gridSpan w:val="2"/>
                  <w:noWrap w:val="0"/>
                  <w:vAlign w:val="center"/>
                </w:tcPr>
                <w:p>
                  <w:pPr>
                    <w:jc w:val="center"/>
                    <w:rPr>
                      <w:color w:val="auto"/>
                      <w:szCs w:val="21"/>
                    </w:rPr>
                  </w:pPr>
                  <w:r>
                    <w:rPr>
                      <w:color w:val="auto"/>
                      <w:szCs w:val="21"/>
                    </w:rPr>
                    <w:t>排放量（t/a）</w:t>
                  </w:r>
                </w:p>
              </w:tc>
              <w:tc>
                <w:tcPr>
                  <w:tcW w:w="396" w:type="pct"/>
                  <w:noWrap w:val="0"/>
                  <w:vAlign w:val="center"/>
                </w:tcPr>
                <w:p>
                  <w:pPr>
                    <w:jc w:val="center"/>
                    <w:rPr>
                      <w:rFonts w:hint="default"/>
                      <w:color w:val="auto"/>
                      <w:szCs w:val="21"/>
                      <w:lang w:val="en-US" w:eastAsia="zh-CN"/>
                    </w:rPr>
                  </w:pPr>
                  <w:r>
                    <w:rPr>
                      <w:rFonts w:hint="eastAsia"/>
                      <w:color w:val="auto"/>
                      <w:szCs w:val="21"/>
                      <w:lang w:val="en-US" w:eastAsia="zh-CN"/>
                    </w:rPr>
                    <w:t>1.2</w:t>
                  </w:r>
                </w:p>
              </w:tc>
              <w:tc>
                <w:tcPr>
                  <w:tcW w:w="425" w:type="pct"/>
                  <w:noWrap w:val="0"/>
                  <w:vAlign w:val="center"/>
                </w:tcPr>
                <w:p>
                  <w:pPr>
                    <w:jc w:val="center"/>
                    <w:rPr>
                      <w:rFonts w:hint="default"/>
                      <w:color w:val="auto"/>
                      <w:szCs w:val="21"/>
                      <w:lang w:val="en-US" w:eastAsia="zh-CN"/>
                    </w:rPr>
                  </w:pPr>
                  <w:r>
                    <w:rPr>
                      <w:rFonts w:hint="eastAsia"/>
                      <w:color w:val="auto"/>
                      <w:szCs w:val="21"/>
                      <w:lang w:val="en-US" w:eastAsia="zh-CN"/>
                    </w:rPr>
                    <w:t>0.39</w:t>
                  </w:r>
                </w:p>
              </w:tc>
              <w:tc>
                <w:tcPr>
                  <w:tcW w:w="346" w:type="pct"/>
                  <w:noWrap w:val="0"/>
                  <w:vAlign w:val="center"/>
                </w:tcPr>
                <w:p>
                  <w:pPr>
                    <w:jc w:val="center"/>
                    <w:rPr>
                      <w:rFonts w:hint="default"/>
                      <w:color w:val="auto"/>
                      <w:szCs w:val="21"/>
                      <w:lang w:val="en-US" w:eastAsia="zh-CN"/>
                    </w:rPr>
                  </w:pPr>
                  <w:r>
                    <w:rPr>
                      <w:rFonts w:hint="eastAsia"/>
                      <w:color w:val="auto"/>
                      <w:szCs w:val="21"/>
                      <w:lang w:val="en-US" w:eastAsia="zh-CN"/>
                    </w:rPr>
                    <w:t>0.47</w:t>
                  </w:r>
                </w:p>
              </w:tc>
              <w:tc>
                <w:tcPr>
                  <w:tcW w:w="471" w:type="pct"/>
                  <w:noWrap w:val="0"/>
                  <w:vAlign w:val="center"/>
                </w:tcPr>
                <w:p>
                  <w:pPr>
                    <w:jc w:val="center"/>
                    <w:rPr>
                      <w:rFonts w:hint="default"/>
                      <w:color w:val="auto"/>
                      <w:szCs w:val="21"/>
                      <w:lang w:val="en-US" w:eastAsia="zh-CN"/>
                    </w:rPr>
                  </w:pPr>
                  <w:r>
                    <w:rPr>
                      <w:rFonts w:hint="eastAsia"/>
                      <w:color w:val="auto"/>
                      <w:szCs w:val="21"/>
                      <w:lang w:val="en-US" w:eastAsia="zh-CN"/>
                    </w:rPr>
                    <w:t>0.2</w:t>
                  </w:r>
                </w:p>
              </w:tc>
              <w:tc>
                <w:tcPr>
                  <w:tcW w:w="336" w:type="pct"/>
                  <w:noWrap w:val="0"/>
                  <w:vAlign w:val="center"/>
                </w:tcPr>
                <w:p>
                  <w:pPr>
                    <w:jc w:val="center"/>
                    <w:rPr>
                      <w:rFonts w:hint="default"/>
                      <w:color w:val="auto"/>
                      <w:szCs w:val="21"/>
                      <w:lang w:val="en-US" w:eastAsia="zh-CN"/>
                    </w:rPr>
                  </w:pPr>
                  <w:r>
                    <w:rPr>
                      <w:rFonts w:hint="eastAsia"/>
                      <w:color w:val="auto"/>
                      <w:szCs w:val="21"/>
                      <w:lang w:val="en-US" w:eastAsia="zh-CN"/>
                    </w:rPr>
                    <w:t>0.07</w:t>
                  </w:r>
                </w:p>
              </w:tc>
              <w:tc>
                <w:tcPr>
                  <w:tcW w:w="346" w:type="pct"/>
                  <w:noWrap w:val="0"/>
                  <w:vAlign w:val="center"/>
                </w:tcPr>
                <w:p>
                  <w:pPr>
                    <w:jc w:val="center"/>
                    <w:rPr>
                      <w:rFonts w:hint="default"/>
                      <w:color w:val="auto"/>
                      <w:szCs w:val="21"/>
                      <w:lang w:val="en-US" w:eastAsia="zh-CN"/>
                    </w:rPr>
                  </w:pPr>
                  <w:r>
                    <w:rPr>
                      <w:rFonts w:hint="eastAsia"/>
                      <w:color w:val="auto"/>
                      <w:szCs w:val="21"/>
                      <w:lang w:val="en-US" w:eastAsia="zh-CN"/>
                    </w:rPr>
                    <w:t>0.25</w:t>
                  </w:r>
                </w:p>
              </w:tc>
              <w:tc>
                <w:tcPr>
                  <w:tcW w:w="658" w:type="pct"/>
                  <w:noWrap w:val="0"/>
                  <w:vAlign w:val="center"/>
                </w:tcPr>
                <w:p>
                  <w:pPr>
                    <w:jc w:val="center"/>
                    <w:rPr>
                      <w:rFonts w:hint="default" w:eastAsia="宋体"/>
                      <w:color w:val="auto"/>
                      <w:szCs w:val="21"/>
                      <w:lang w:val="en-US" w:eastAsia="zh-CN"/>
                    </w:rPr>
                  </w:pPr>
                  <w:r>
                    <w:rPr>
                      <w:rFonts w:hint="eastAsia"/>
                      <w:color w:val="auto"/>
                      <w:szCs w:val="21"/>
                      <w:lang w:val="en-US" w:eastAsia="zh-CN"/>
                    </w:rPr>
                    <w:t>/</w:t>
                  </w:r>
                </w:p>
              </w:tc>
              <w:tc>
                <w:tcPr>
                  <w:tcW w:w="419" w:type="pct"/>
                  <w:noWrap w:val="0"/>
                  <w:vAlign w:val="center"/>
                </w:tcPr>
                <w:p>
                  <w:pPr>
                    <w:jc w:val="center"/>
                    <w:rPr>
                      <w:rFonts w:hint="default" w:eastAsia="宋体"/>
                      <w:color w:val="auto"/>
                      <w:szCs w:val="21"/>
                      <w:lang w:val="en-US" w:eastAsia="zh-CN"/>
                    </w:rPr>
                  </w:pPr>
                  <w:r>
                    <w:rPr>
                      <w:rFonts w:hint="eastAsia"/>
                      <w:color w:val="auto"/>
                      <w:szCs w:val="21"/>
                      <w:lang w:val="en-US" w:eastAsia="zh-CN"/>
                    </w:rPr>
                    <w:t>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24" w:type="pct"/>
                  <w:noWrap w:val="0"/>
                  <w:vAlign w:val="center"/>
                </w:tcPr>
                <w:p>
                  <w:pPr>
                    <w:jc w:val="center"/>
                    <w:rPr>
                      <w:color w:val="auto"/>
                      <w:szCs w:val="21"/>
                      <w:lang w:val="en-GB"/>
                    </w:rPr>
                  </w:pPr>
                  <w:r>
                    <w:rPr>
                      <w:color w:val="auto"/>
                      <w:szCs w:val="21"/>
                    </w:rPr>
                    <w:t>执行标准（mg/L）</w:t>
                  </w:r>
                </w:p>
              </w:tc>
              <w:tc>
                <w:tcPr>
                  <w:tcW w:w="976" w:type="pct"/>
                  <w:noWrap w:val="0"/>
                  <w:vAlign w:val="center"/>
                </w:tcPr>
                <w:p>
                  <w:pPr>
                    <w:jc w:val="center"/>
                    <w:rPr>
                      <w:color w:val="auto"/>
                      <w:szCs w:val="21"/>
                    </w:rPr>
                  </w:pPr>
                  <w:r>
                    <w:rPr>
                      <w:color w:val="auto"/>
                      <w:szCs w:val="21"/>
                    </w:rPr>
                    <w:t>GB18466-2005</w:t>
                  </w:r>
                </w:p>
                <w:p>
                  <w:pPr>
                    <w:jc w:val="center"/>
                    <w:rPr>
                      <w:color w:val="auto"/>
                      <w:szCs w:val="21"/>
                    </w:rPr>
                  </w:pPr>
                  <w:r>
                    <w:rPr>
                      <w:color w:val="auto"/>
                      <w:szCs w:val="21"/>
                    </w:rPr>
                    <w:t>GB/T31962-2015</w:t>
                  </w:r>
                </w:p>
              </w:tc>
              <w:tc>
                <w:tcPr>
                  <w:tcW w:w="396" w:type="pct"/>
                  <w:noWrap w:val="0"/>
                  <w:vAlign w:val="center"/>
                </w:tcPr>
                <w:p>
                  <w:pPr>
                    <w:jc w:val="center"/>
                    <w:rPr>
                      <w:color w:val="auto"/>
                      <w:szCs w:val="21"/>
                    </w:rPr>
                  </w:pPr>
                  <w:r>
                    <w:rPr>
                      <w:color w:val="auto"/>
                      <w:szCs w:val="21"/>
                    </w:rPr>
                    <w:t>250</w:t>
                  </w:r>
                </w:p>
              </w:tc>
              <w:tc>
                <w:tcPr>
                  <w:tcW w:w="425" w:type="pct"/>
                  <w:noWrap w:val="0"/>
                  <w:vAlign w:val="center"/>
                </w:tcPr>
                <w:p>
                  <w:pPr>
                    <w:jc w:val="center"/>
                    <w:rPr>
                      <w:color w:val="auto"/>
                      <w:szCs w:val="21"/>
                    </w:rPr>
                  </w:pPr>
                  <w:r>
                    <w:rPr>
                      <w:color w:val="auto"/>
                      <w:szCs w:val="21"/>
                    </w:rPr>
                    <w:t>100</w:t>
                  </w:r>
                </w:p>
              </w:tc>
              <w:tc>
                <w:tcPr>
                  <w:tcW w:w="346" w:type="pct"/>
                  <w:noWrap w:val="0"/>
                  <w:vAlign w:val="center"/>
                </w:tcPr>
                <w:p>
                  <w:pPr>
                    <w:jc w:val="center"/>
                    <w:rPr>
                      <w:color w:val="auto"/>
                      <w:szCs w:val="21"/>
                    </w:rPr>
                  </w:pPr>
                  <w:r>
                    <w:rPr>
                      <w:color w:val="auto"/>
                      <w:szCs w:val="21"/>
                    </w:rPr>
                    <w:t>60</w:t>
                  </w:r>
                </w:p>
              </w:tc>
              <w:tc>
                <w:tcPr>
                  <w:tcW w:w="471" w:type="pct"/>
                  <w:noWrap w:val="0"/>
                  <w:vAlign w:val="center"/>
                </w:tcPr>
                <w:p>
                  <w:pPr>
                    <w:jc w:val="center"/>
                    <w:rPr>
                      <w:color w:val="auto"/>
                      <w:szCs w:val="21"/>
                    </w:rPr>
                  </w:pPr>
                  <w:r>
                    <w:rPr>
                      <w:rFonts w:hint="eastAsia"/>
                      <w:color w:val="auto"/>
                      <w:szCs w:val="21"/>
                    </w:rPr>
                    <w:t>45</w:t>
                  </w:r>
                </w:p>
              </w:tc>
              <w:tc>
                <w:tcPr>
                  <w:tcW w:w="336" w:type="pct"/>
                  <w:noWrap w:val="0"/>
                  <w:vAlign w:val="center"/>
                </w:tcPr>
                <w:p>
                  <w:pPr>
                    <w:jc w:val="center"/>
                    <w:rPr>
                      <w:rFonts w:hint="eastAsia"/>
                      <w:color w:val="auto"/>
                      <w:szCs w:val="21"/>
                    </w:rPr>
                  </w:pPr>
                  <w:r>
                    <w:rPr>
                      <w:rFonts w:hint="eastAsia"/>
                      <w:color w:val="auto"/>
                      <w:szCs w:val="21"/>
                    </w:rPr>
                    <w:t>8</w:t>
                  </w:r>
                </w:p>
              </w:tc>
              <w:tc>
                <w:tcPr>
                  <w:tcW w:w="346" w:type="pct"/>
                  <w:noWrap w:val="0"/>
                  <w:vAlign w:val="center"/>
                </w:tcPr>
                <w:p>
                  <w:pPr>
                    <w:jc w:val="center"/>
                    <w:rPr>
                      <w:color w:val="auto"/>
                      <w:szCs w:val="21"/>
                    </w:rPr>
                  </w:pPr>
                  <w:r>
                    <w:rPr>
                      <w:rFonts w:hint="eastAsia"/>
                      <w:color w:val="auto"/>
                      <w:szCs w:val="21"/>
                    </w:rPr>
                    <w:t>70</w:t>
                  </w:r>
                </w:p>
              </w:tc>
              <w:tc>
                <w:tcPr>
                  <w:tcW w:w="658" w:type="pct"/>
                  <w:noWrap w:val="0"/>
                  <w:vAlign w:val="center"/>
                </w:tcPr>
                <w:p>
                  <w:pPr>
                    <w:jc w:val="center"/>
                    <w:rPr>
                      <w:color w:val="auto"/>
                      <w:szCs w:val="21"/>
                    </w:rPr>
                  </w:pPr>
                  <w:r>
                    <w:rPr>
                      <w:color w:val="auto"/>
                      <w:szCs w:val="21"/>
                    </w:rPr>
                    <w:t>5000MPN/L</w:t>
                  </w:r>
                </w:p>
              </w:tc>
              <w:tc>
                <w:tcPr>
                  <w:tcW w:w="419" w:type="pct"/>
                  <w:noWrap w:val="0"/>
                  <w:vAlign w:val="center"/>
                </w:tcPr>
                <w:p>
                  <w:pPr>
                    <w:jc w:val="center"/>
                    <w:rPr>
                      <w:rFonts w:hint="default" w:eastAsia="宋体"/>
                      <w:color w:val="auto"/>
                      <w:szCs w:val="21"/>
                      <w:lang w:val="en-US" w:eastAsia="zh-CN"/>
                    </w:rPr>
                  </w:pPr>
                  <w:r>
                    <w:rPr>
                      <w:rFonts w:hint="eastAsia"/>
                      <w:color w:val="auto"/>
                      <w:szCs w:val="21"/>
                      <w:lang w:val="en-US" w:eastAsia="zh-CN"/>
                    </w:rPr>
                    <w:t>100</w:t>
                  </w:r>
                </w:p>
              </w:tc>
            </w:tr>
          </w:tbl>
          <w:p>
            <w:pPr>
              <w:pStyle w:val="42"/>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③排放方式</w:t>
            </w:r>
          </w:p>
          <w:p>
            <w:pPr>
              <w:pStyle w:val="42"/>
              <w:widowControl/>
              <w:spacing w:line="360" w:lineRule="auto"/>
              <w:ind w:firstLine="480" w:firstLineChars="200"/>
              <w:jc w:val="both"/>
              <w:rPr>
                <w:rFonts w:ascii="Times New Roman" w:hAnsi="Times New Roman" w:eastAsia="宋体"/>
                <w:color w:val="auto"/>
                <w:sz w:val="24"/>
                <w:szCs w:val="24"/>
              </w:rPr>
            </w:pPr>
            <w:r>
              <w:rPr>
                <w:rFonts w:ascii="Times New Roman" w:hAnsi="Times New Roman" w:eastAsia="宋体"/>
                <w:bCs/>
                <w:color w:val="auto"/>
                <w:sz w:val="24"/>
                <w:szCs w:val="24"/>
              </w:rPr>
              <w:t>本项目产生的污水为间接排放。</w:t>
            </w:r>
          </w:p>
          <w:p>
            <w:pPr>
              <w:pStyle w:val="42"/>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④排放去向</w:t>
            </w:r>
          </w:p>
          <w:p>
            <w:pPr>
              <w:pStyle w:val="42"/>
              <w:widowControl/>
              <w:spacing w:line="360" w:lineRule="auto"/>
              <w:ind w:firstLine="480" w:firstLineChars="200"/>
              <w:jc w:val="both"/>
              <w:rPr>
                <w:rFonts w:ascii="Times New Roman" w:hAnsi="Times New Roman" w:eastAsia="宋体"/>
                <w:bCs/>
                <w:color w:val="auto"/>
                <w:kern w:val="2"/>
                <w:sz w:val="24"/>
                <w:szCs w:val="24"/>
              </w:rPr>
            </w:pPr>
            <w:r>
              <w:rPr>
                <w:rFonts w:hint="eastAsia" w:ascii="Times New Roman" w:hAnsi="Times New Roman" w:eastAsia="宋体"/>
                <w:bCs/>
                <w:color w:val="auto"/>
                <w:kern w:val="2"/>
                <w:sz w:val="24"/>
                <w:szCs w:val="24"/>
              </w:rPr>
              <w:t>医院废水经化粪池+污水处理站处理后，</w:t>
            </w:r>
            <w:r>
              <w:rPr>
                <w:rFonts w:hint="eastAsia" w:ascii="Times New Roman" w:hAnsi="Times New Roman" w:eastAsia="宋体"/>
                <w:bCs/>
                <w:color w:val="auto"/>
                <w:sz w:val="24"/>
                <w:szCs w:val="24"/>
              </w:rPr>
              <w:t>经市政污水管网排至</w:t>
            </w:r>
            <w:r>
              <w:rPr>
                <w:rFonts w:hint="eastAsia" w:ascii="Times New Roman" w:hAnsi="Times New Roman"/>
                <w:bCs/>
                <w:color w:val="auto"/>
                <w:sz w:val="24"/>
                <w:szCs w:val="24"/>
                <w:lang w:val="en-US" w:eastAsia="zh-CN"/>
              </w:rPr>
              <w:t>西安市第四</w:t>
            </w:r>
            <w:r>
              <w:rPr>
                <w:rFonts w:hint="eastAsia" w:ascii="Times New Roman" w:hAnsi="Times New Roman"/>
                <w:bCs/>
                <w:color w:val="auto"/>
                <w:sz w:val="24"/>
                <w:szCs w:val="24"/>
                <w:lang w:eastAsia="zh-CN"/>
              </w:rPr>
              <w:t>污水</w:t>
            </w:r>
            <w:r>
              <w:rPr>
                <w:rFonts w:hint="eastAsia" w:ascii="Times New Roman" w:hAnsi="Times New Roman" w:eastAsia="宋体"/>
                <w:bCs/>
                <w:color w:val="auto"/>
                <w:sz w:val="24"/>
                <w:szCs w:val="24"/>
              </w:rPr>
              <w:t>处理厂</w:t>
            </w:r>
            <w:r>
              <w:rPr>
                <w:rFonts w:hint="eastAsia" w:ascii="Times New Roman" w:hAnsi="Times New Roman" w:eastAsia="宋体"/>
                <w:bCs/>
                <w:color w:val="auto"/>
                <w:kern w:val="2"/>
                <w:sz w:val="24"/>
                <w:szCs w:val="24"/>
              </w:rPr>
              <w:t>。</w:t>
            </w:r>
          </w:p>
          <w:p>
            <w:pPr>
              <w:pStyle w:val="42"/>
              <w:widowControl/>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⑤排放规律</w:t>
            </w:r>
          </w:p>
          <w:p>
            <w:pPr>
              <w:pStyle w:val="42"/>
              <w:widowControl/>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本项目为</w:t>
            </w:r>
            <w:r>
              <w:rPr>
                <w:rFonts w:hint="eastAsia" w:ascii="Times New Roman" w:hAnsi="Times New Roman"/>
                <w:bCs/>
                <w:color w:val="auto"/>
                <w:sz w:val="24"/>
                <w:szCs w:val="24"/>
                <w:lang w:val="en-US" w:eastAsia="zh-CN"/>
              </w:rPr>
              <w:t>医院</w:t>
            </w:r>
            <w:r>
              <w:rPr>
                <w:rFonts w:hint="eastAsia" w:ascii="Times New Roman" w:hAnsi="Times New Roman" w:eastAsia="宋体"/>
                <w:bCs/>
                <w:color w:val="auto"/>
                <w:sz w:val="24"/>
                <w:szCs w:val="24"/>
              </w:rPr>
              <w:t>建设项目</w:t>
            </w:r>
            <w:r>
              <w:rPr>
                <w:rFonts w:ascii="Times New Roman" w:hAnsi="Times New Roman" w:eastAsia="宋体"/>
                <w:bCs/>
                <w:color w:val="auto"/>
                <w:sz w:val="24"/>
                <w:szCs w:val="24"/>
              </w:rPr>
              <w:t>，产生的污水主要为工作人员生活污水</w:t>
            </w:r>
            <w:r>
              <w:rPr>
                <w:rFonts w:hint="eastAsia" w:ascii="Times New Roman" w:hAnsi="Times New Roman" w:eastAsia="宋体"/>
                <w:bCs/>
                <w:color w:val="auto"/>
                <w:sz w:val="24"/>
                <w:szCs w:val="24"/>
              </w:rPr>
              <w:t>和</w:t>
            </w:r>
            <w:r>
              <w:rPr>
                <w:rFonts w:ascii="Times New Roman" w:hAnsi="Times New Roman" w:eastAsia="宋体"/>
                <w:bCs/>
                <w:color w:val="auto"/>
                <w:sz w:val="24"/>
                <w:szCs w:val="24"/>
              </w:rPr>
              <w:t>医疗废水，由于接诊和接待的时间和数量处于动态变化过程，因此排放无固定规律，但每天的排放量基本趋于稳定。</w:t>
            </w:r>
          </w:p>
          <w:p>
            <w:pPr>
              <w:pStyle w:val="42"/>
              <w:spacing w:line="360" w:lineRule="auto"/>
              <w:ind w:firstLine="480" w:firstLineChars="200"/>
              <w:jc w:val="both"/>
              <w:rPr>
                <w:rFonts w:hint="default" w:ascii="Times New Roman" w:hAnsi="Times New Roman" w:eastAsia="宋体"/>
                <w:bCs/>
                <w:color w:val="auto"/>
                <w:sz w:val="24"/>
                <w:szCs w:val="24"/>
                <w:lang w:val="en-US" w:eastAsia="zh-CN"/>
              </w:rPr>
            </w:pPr>
            <w:r>
              <w:rPr>
                <w:rFonts w:ascii="Times New Roman" w:hAnsi="Times New Roman" w:eastAsia="宋体"/>
                <w:bCs/>
                <w:color w:val="auto"/>
                <w:sz w:val="24"/>
                <w:szCs w:val="24"/>
              </w:rPr>
              <w:t>⑥</w:t>
            </w:r>
            <w:r>
              <w:rPr>
                <w:rFonts w:hint="eastAsia" w:ascii="Times New Roman" w:hAnsi="Times New Roman"/>
                <w:bCs/>
                <w:color w:val="auto"/>
                <w:sz w:val="24"/>
                <w:szCs w:val="24"/>
                <w:lang w:val="en-US" w:eastAsia="zh-CN"/>
              </w:rPr>
              <w:t>污水排入西安市第四污水处理厂可行性分析</w:t>
            </w:r>
          </w:p>
          <w:p>
            <w:pPr>
              <w:pStyle w:val="42"/>
              <w:spacing w:line="360" w:lineRule="auto"/>
              <w:ind w:firstLine="480" w:firstLineChars="200"/>
              <w:jc w:val="both"/>
              <w:rPr>
                <w:rFonts w:hint="eastAsia" w:ascii="Times New Roman" w:hAnsi="Times New Roman" w:eastAsia="宋体"/>
                <w:bCs/>
                <w:color w:val="auto"/>
                <w:sz w:val="24"/>
                <w:szCs w:val="24"/>
                <w:lang w:eastAsia="zh-CN"/>
              </w:rPr>
            </w:pPr>
            <w:r>
              <w:rPr>
                <w:rFonts w:hint="eastAsia" w:ascii="Times New Roman" w:hAnsi="Times New Roman" w:eastAsia="宋体"/>
                <w:bCs/>
                <w:color w:val="auto"/>
                <w:sz w:val="24"/>
                <w:szCs w:val="24"/>
              </w:rPr>
              <w:t>西安市第四污水处理厂位于西安市北三环以北，机场高速以西，长大南路以南区域，主要服务范围为老城区及东郊太华路以西至漕运明渠，北三环以南区域，部分草滩生态园区域及漕运明渠以东北三环沿线区域，服务面积约89km</w:t>
            </w:r>
            <w:r>
              <w:rPr>
                <w:rFonts w:hint="eastAsia" w:ascii="Times New Roman" w:hAnsi="Times New Roman" w:eastAsia="宋体"/>
                <w:bCs/>
                <w:color w:val="auto"/>
                <w:sz w:val="24"/>
                <w:szCs w:val="24"/>
                <w:vertAlign w:val="superscript"/>
              </w:rPr>
              <w:t>2</w:t>
            </w:r>
            <w:r>
              <w:rPr>
                <w:rFonts w:hint="eastAsia" w:ascii="Times New Roman" w:hAnsi="Times New Roman" w:eastAsia="宋体"/>
                <w:bCs/>
                <w:color w:val="auto"/>
                <w:sz w:val="24"/>
                <w:szCs w:val="24"/>
              </w:rPr>
              <w:t>。服务人口2010年83.35万人，2020年99.80万人，根据西安市排水规划，西安市第四污水处理厂规划规模为50×10</w:t>
            </w:r>
            <w:r>
              <w:rPr>
                <w:rFonts w:hint="eastAsia" w:ascii="Times New Roman" w:hAnsi="Times New Roman" w:eastAsia="宋体"/>
                <w:bCs/>
                <w:color w:val="auto"/>
                <w:sz w:val="24"/>
                <w:szCs w:val="24"/>
                <w:vertAlign w:val="superscript"/>
              </w:rPr>
              <w:t>4</w:t>
            </w:r>
            <w:r>
              <w:rPr>
                <w:rFonts w:hint="eastAsia" w:ascii="Times New Roman" w:hAnsi="Times New Roman" w:eastAsia="宋体"/>
                <w:bCs/>
                <w:color w:val="auto"/>
                <w:sz w:val="24"/>
                <w:szCs w:val="24"/>
              </w:rPr>
              <w:t>m</w:t>
            </w:r>
            <w:r>
              <w:rPr>
                <w:rFonts w:hint="eastAsia" w:ascii="Times New Roman" w:hAnsi="Times New Roman" w:eastAsia="宋体"/>
                <w:bCs/>
                <w:color w:val="auto"/>
                <w:sz w:val="24"/>
                <w:szCs w:val="24"/>
                <w:vertAlign w:val="superscript"/>
              </w:rPr>
              <w:t>3</w:t>
            </w:r>
            <w:r>
              <w:rPr>
                <w:rFonts w:hint="eastAsia" w:ascii="Times New Roman" w:hAnsi="Times New Roman" w:eastAsia="宋体"/>
                <w:bCs/>
                <w:color w:val="auto"/>
                <w:sz w:val="24"/>
                <w:szCs w:val="24"/>
              </w:rPr>
              <w:t>/d，处理工艺为：预处理+改良A</w:t>
            </w:r>
            <w:r>
              <w:rPr>
                <w:rFonts w:hint="eastAsia" w:ascii="Times New Roman" w:hAnsi="Times New Roman" w:eastAsia="宋体"/>
                <w:bCs/>
                <w:color w:val="auto"/>
                <w:sz w:val="24"/>
                <w:szCs w:val="24"/>
                <w:vertAlign w:val="superscript"/>
              </w:rPr>
              <w:t>2</w:t>
            </w:r>
            <w:r>
              <w:rPr>
                <w:rFonts w:hint="eastAsia" w:ascii="Times New Roman" w:hAnsi="Times New Roman" w:eastAsia="宋体"/>
                <w:bCs/>
                <w:color w:val="auto"/>
                <w:sz w:val="24"/>
                <w:szCs w:val="24"/>
              </w:rPr>
              <w:t>O 工艺+高效沉淀+V 型滤池+接触消毒工艺，污泥处理采用重力浓缩+离心脱水工艺；本项目出水水质达到《地表水环境质量标准》（GB3838-2002）准 IV类标准及《陕西省黄河流域污水综合排放标准》（DB61/224-2018）表 1中A标准。本项目处于该污水处理厂收水范围内。且与污水处理站核实后，本项目废水日排放量仅为</w:t>
            </w:r>
            <w:r>
              <w:rPr>
                <w:rFonts w:hint="eastAsia" w:ascii="Times New Roman" w:hAnsi="Times New Roman"/>
                <w:bCs/>
                <w:color w:val="auto"/>
                <w:sz w:val="24"/>
                <w:szCs w:val="24"/>
                <w:lang w:val="en-US" w:eastAsia="zh-CN"/>
              </w:rPr>
              <w:t>27.76</w:t>
            </w:r>
            <w:r>
              <w:rPr>
                <w:rFonts w:hint="eastAsia" w:ascii="Times New Roman" w:hAnsi="Times New Roman" w:eastAsia="宋体"/>
                <w:bCs/>
                <w:color w:val="auto"/>
                <w:sz w:val="24"/>
                <w:szCs w:val="24"/>
              </w:rPr>
              <w:t>m</w:t>
            </w:r>
            <w:r>
              <w:rPr>
                <w:rFonts w:hint="eastAsia" w:ascii="Times New Roman" w:hAnsi="Times New Roman" w:eastAsia="宋体"/>
                <w:bCs/>
                <w:color w:val="auto"/>
                <w:sz w:val="24"/>
                <w:szCs w:val="24"/>
                <w:vertAlign w:val="superscript"/>
              </w:rPr>
              <w:t>3</w:t>
            </w:r>
            <w:r>
              <w:rPr>
                <w:rFonts w:hint="eastAsia" w:ascii="Times New Roman" w:hAnsi="Times New Roman" w:eastAsia="宋体"/>
                <w:bCs/>
                <w:color w:val="auto"/>
                <w:sz w:val="24"/>
                <w:szCs w:val="24"/>
              </w:rPr>
              <w:t>，对该污水处理站冲击量很小，且污水站尚有余力接收本项目废水</w:t>
            </w:r>
            <w:r>
              <w:rPr>
                <w:rFonts w:hint="eastAsia" w:ascii="Times New Roman" w:hAnsi="Times New Roman"/>
                <w:bCs/>
                <w:color w:val="auto"/>
                <w:sz w:val="24"/>
                <w:szCs w:val="24"/>
                <w:lang w:eastAsia="zh-CN"/>
              </w:rPr>
              <w:t>。</w:t>
            </w:r>
          </w:p>
          <w:p>
            <w:pPr>
              <w:pStyle w:val="42"/>
              <w:spacing w:line="360" w:lineRule="auto"/>
              <w:ind w:firstLine="480" w:firstLineChars="200"/>
              <w:jc w:val="both"/>
              <w:rPr>
                <w:rFonts w:ascii="Times New Roman" w:hAnsi="Times New Roman" w:eastAsia="宋体"/>
                <w:bCs/>
                <w:color w:val="auto"/>
                <w:sz w:val="24"/>
                <w:szCs w:val="24"/>
              </w:rPr>
            </w:pPr>
            <w:r>
              <w:rPr>
                <w:rFonts w:hint="eastAsia" w:ascii="宋体" w:hAnsi="宋体" w:eastAsia="宋体" w:cs="宋体"/>
                <w:bCs/>
                <w:color w:val="auto"/>
                <w:sz w:val="24"/>
                <w:szCs w:val="24"/>
              </w:rPr>
              <w:t>⑦</w:t>
            </w:r>
            <w:r>
              <w:rPr>
                <w:rFonts w:ascii="Times New Roman" w:hAnsi="Times New Roman" w:eastAsia="宋体"/>
                <w:bCs/>
                <w:color w:val="auto"/>
                <w:sz w:val="24"/>
                <w:szCs w:val="24"/>
              </w:rPr>
              <w:t>排放口基本情况</w:t>
            </w:r>
          </w:p>
          <w:p>
            <w:pPr>
              <w:pStyle w:val="42"/>
              <w:widowControl/>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本项目废水排放口基本情况见下表：</w:t>
            </w:r>
          </w:p>
          <w:p>
            <w:pPr>
              <w:autoSpaceDE w:val="0"/>
              <w:autoSpaceDN w:val="0"/>
              <w:adjustRightInd w:val="0"/>
              <w:jc w:val="center"/>
              <w:rPr>
                <w:b/>
                <w:color w:val="auto"/>
                <w:szCs w:val="21"/>
              </w:rPr>
            </w:pPr>
            <w:r>
              <w:rPr>
                <w:b/>
                <w:color w:val="auto"/>
                <w:szCs w:val="21"/>
              </w:rPr>
              <w:t>表4-</w:t>
            </w:r>
            <w:r>
              <w:rPr>
                <w:rFonts w:hint="eastAsia"/>
                <w:b/>
                <w:color w:val="auto"/>
                <w:szCs w:val="21"/>
                <w:lang w:val="en-US" w:eastAsia="zh-CN"/>
              </w:rPr>
              <w:t>6</w:t>
            </w:r>
            <w:r>
              <w:rPr>
                <w:rFonts w:hint="eastAsia"/>
                <w:b/>
                <w:color w:val="auto"/>
                <w:szCs w:val="21"/>
              </w:rPr>
              <w:t xml:space="preserve">    </w:t>
            </w:r>
            <w:r>
              <w:rPr>
                <w:b/>
                <w:color w:val="auto"/>
                <w:szCs w:val="21"/>
              </w:rPr>
              <w:t>废水间接排放口基本信息表</w:t>
            </w:r>
          </w:p>
          <w:tbl>
            <w:tblPr>
              <w:tblStyle w:val="27"/>
              <w:tblW w:w="8480"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528"/>
              <w:gridCol w:w="1423"/>
              <w:gridCol w:w="899"/>
              <w:gridCol w:w="427"/>
              <w:gridCol w:w="587"/>
              <w:gridCol w:w="427"/>
              <w:gridCol w:w="427"/>
              <w:gridCol w:w="728"/>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restart"/>
                  <w:noWrap w:val="0"/>
                  <w:vAlign w:val="center"/>
                </w:tcPr>
                <w:p>
                  <w:pPr>
                    <w:snapToGrid w:val="0"/>
                    <w:jc w:val="center"/>
                    <w:rPr>
                      <w:b/>
                      <w:bCs/>
                      <w:color w:val="auto"/>
                      <w:szCs w:val="21"/>
                    </w:rPr>
                  </w:pPr>
                  <w:r>
                    <w:rPr>
                      <w:b/>
                      <w:bCs/>
                      <w:color w:val="auto"/>
                      <w:szCs w:val="21"/>
                    </w:rPr>
                    <w:t>排放口编号</w:t>
                  </w:r>
                </w:p>
              </w:tc>
              <w:tc>
                <w:tcPr>
                  <w:tcW w:w="2924" w:type="dxa"/>
                  <w:gridSpan w:val="2"/>
                  <w:noWrap w:val="0"/>
                  <w:vAlign w:val="center"/>
                </w:tcPr>
                <w:p>
                  <w:pPr>
                    <w:snapToGrid w:val="0"/>
                    <w:jc w:val="center"/>
                    <w:rPr>
                      <w:b/>
                      <w:bCs/>
                      <w:color w:val="auto"/>
                      <w:szCs w:val="21"/>
                    </w:rPr>
                  </w:pPr>
                  <w:r>
                    <w:rPr>
                      <w:b/>
                      <w:bCs/>
                      <w:color w:val="auto"/>
                      <w:szCs w:val="21"/>
                    </w:rPr>
                    <w:t>排放口地理坐标</w:t>
                  </w:r>
                </w:p>
              </w:tc>
              <w:tc>
                <w:tcPr>
                  <w:tcW w:w="892" w:type="dxa"/>
                  <w:vMerge w:val="restart"/>
                  <w:noWrap w:val="0"/>
                  <w:vAlign w:val="center"/>
                </w:tcPr>
                <w:p>
                  <w:pPr>
                    <w:snapToGrid w:val="0"/>
                    <w:jc w:val="center"/>
                    <w:rPr>
                      <w:b/>
                      <w:bCs/>
                      <w:color w:val="auto"/>
                      <w:szCs w:val="21"/>
                    </w:rPr>
                  </w:pPr>
                  <w:r>
                    <w:rPr>
                      <w:b/>
                      <w:bCs/>
                      <w:color w:val="auto"/>
                      <w:szCs w:val="21"/>
                    </w:rPr>
                    <w:t>废水排放量/（t/a）</w:t>
                  </w:r>
                </w:p>
              </w:tc>
              <w:tc>
                <w:tcPr>
                  <w:tcW w:w="425" w:type="dxa"/>
                  <w:vMerge w:val="restart"/>
                  <w:noWrap w:val="0"/>
                  <w:vAlign w:val="center"/>
                </w:tcPr>
                <w:p>
                  <w:pPr>
                    <w:snapToGrid w:val="0"/>
                    <w:jc w:val="center"/>
                    <w:rPr>
                      <w:b/>
                      <w:bCs/>
                      <w:color w:val="auto"/>
                      <w:szCs w:val="21"/>
                    </w:rPr>
                  </w:pPr>
                  <w:r>
                    <w:rPr>
                      <w:b/>
                      <w:bCs/>
                      <w:color w:val="auto"/>
                      <w:szCs w:val="21"/>
                    </w:rPr>
                    <w:t>排放去向</w:t>
                  </w:r>
                </w:p>
              </w:tc>
              <w:tc>
                <w:tcPr>
                  <w:tcW w:w="631" w:type="dxa"/>
                  <w:vMerge w:val="restart"/>
                  <w:noWrap w:val="0"/>
                  <w:vAlign w:val="center"/>
                </w:tcPr>
                <w:p>
                  <w:pPr>
                    <w:snapToGrid w:val="0"/>
                    <w:jc w:val="center"/>
                    <w:rPr>
                      <w:b/>
                      <w:bCs/>
                      <w:color w:val="auto"/>
                      <w:szCs w:val="21"/>
                    </w:rPr>
                  </w:pPr>
                  <w:r>
                    <w:rPr>
                      <w:b/>
                      <w:bCs/>
                      <w:color w:val="auto"/>
                      <w:szCs w:val="21"/>
                    </w:rPr>
                    <w:t>排放规律</w:t>
                  </w:r>
                </w:p>
              </w:tc>
              <w:tc>
                <w:tcPr>
                  <w:tcW w:w="425" w:type="dxa"/>
                  <w:vMerge w:val="restart"/>
                  <w:noWrap w:val="0"/>
                  <w:vAlign w:val="center"/>
                </w:tcPr>
                <w:p>
                  <w:pPr>
                    <w:snapToGrid w:val="0"/>
                    <w:jc w:val="center"/>
                    <w:rPr>
                      <w:b/>
                      <w:bCs/>
                      <w:color w:val="auto"/>
                      <w:szCs w:val="21"/>
                    </w:rPr>
                  </w:pPr>
                  <w:r>
                    <w:rPr>
                      <w:rFonts w:hint="eastAsia"/>
                      <w:b/>
                      <w:bCs/>
                      <w:color w:val="auto"/>
                      <w:szCs w:val="21"/>
                      <w:lang w:val="en-US" w:eastAsia="zh-CN"/>
                    </w:rPr>
                    <w:t>间断</w:t>
                  </w:r>
                  <w:r>
                    <w:rPr>
                      <w:b/>
                      <w:bCs/>
                      <w:color w:val="auto"/>
                      <w:szCs w:val="21"/>
                    </w:rPr>
                    <w:t>排放时段</w:t>
                  </w:r>
                </w:p>
              </w:tc>
              <w:tc>
                <w:tcPr>
                  <w:tcW w:w="2310" w:type="dxa"/>
                  <w:gridSpan w:val="3"/>
                  <w:noWrap w:val="0"/>
                  <w:vAlign w:val="center"/>
                </w:tcPr>
                <w:p>
                  <w:pPr>
                    <w:snapToGrid w:val="0"/>
                    <w:jc w:val="center"/>
                    <w:rPr>
                      <w:b/>
                      <w:bCs/>
                      <w:color w:val="auto"/>
                      <w:szCs w:val="21"/>
                    </w:rPr>
                  </w:pPr>
                  <w:r>
                    <w:rPr>
                      <w:b/>
                      <w:bCs/>
                      <w:color w:val="auto"/>
                      <w:szCs w:val="21"/>
                    </w:rPr>
                    <w:t>受纳污水处理厂</w:t>
                  </w:r>
                  <w:r>
                    <w:rPr>
                      <w:rFonts w:hint="eastAsia"/>
                      <w:b/>
                      <w:bCs/>
                      <w:color w:val="auto"/>
                      <w:szCs w:val="21"/>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continue"/>
                  <w:noWrap w:val="0"/>
                  <w:vAlign w:val="center"/>
                </w:tcPr>
                <w:p>
                  <w:pPr>
                    <w:snapToGrid w:val="0"/>
                    <w:jc w:val="center"/>
                    <w:rPr>
                      <w:b/>
                      <w:bCs/>
                      <w:color w:val="auto"/>
                      <w:szCs w:val="21"/>
                    </w:rPr>
                  </w:pPr>
                </w:p>
              </w:tc>
              <w:tc>
                <w:tcPr>
                  <w:tcW w:w="1514" w:type="dxa"/>
                  <w:noWrap w:val="0"/>
                  <w:vAlign w:val="center"/>
                </w:tcPr>
                <w:p>
                  <w:pPr>
                    <w:snapToGrid w:val="0"/>
                    <w:jc w:val="center"/>
                    <w:rPr>
                      <w:b/>
                      <w:bCs/>
                      <w:color w:val="auto"/>
                      <w:szCs w:val="21"/>
                    </w:rPr>
                  </w:pPr>
                  <w:r>
                    <w:rPr>
                      <w:b/>
                      <w:bCs/>
                      <w:color w:val="auto"/>
                      <w:szCs w:val="21"/>
                    </w:rPr>
                    <w:t>经度</w:t>
                  </w:r>
                </w:p>
              </w:tc>
              <w:tc>
                <w:tcPr>
                  <w:tcW w:w="1410" w:type="dxa"/>
                  <w:noWrap w:val="0"/>
                  <w:vAlign w:val="center"/>
                </w:tcPr>
                <w:p>
                  <w:pPr>
                    <w:snapToGrid w:val="0"/>
                    <w:jc w:val="center"/>
                    <w:rPr>
                      <w:b/>
                      <w:bCs/>
                      <w:color w:val="auto"/>
                      <w:szCs w:val="21"/>
                    </w:rPr>
                  </w:pPr>
                  <w:r>
                    <w:rPr>
                      <w:b/>
                      <w:bCs/>
                      <w:color w:val="auto"/>
                      <w:szCs w:val="21"/>
                    </w:rPr>
                    <w:t>纬度</w:t>
                  </w:r>
                </w:p>
              </w:tc>
              <w:tc>
                <w:tcPr>
                  <w:tcW w:w="892" w:type="dxa"/>
                  <w:vMerge w:val="continue"/>
                  <w:noWrap w:val="0"/>
                  <w:vAlign w:val="center"/>
                </w:tcPr>
                <w:p>
                  <w:pPr>
                    <w:snapToGrid w:val="0"/>
                    <w:jc w:val="center"/>
                    <w:rPr>
                      <w:b/>
                      <w:bCs/>
                      <w:color w:val="auto"/>
                      <w:szCs w:val="21"/>
                    </w:rPr>
                  </w:pPr>
                </w:p>
              </w:tc>
              <w:tc>
                <w:tcPr>
                  <w:tcW w:w="425" w:type="dxa"/>
                  <w:vMerge w:val="continue"/>
                  <w:noWrap w:val="0"/>
                  <w:vAlign w:val="center"/>
                </w:tcPr>
                <w:p>
                  <w:pPr>
                    <w:snapToGrid w:val="0"/>
                    <w:jc w:val="center"/>
                    <w:rPr>
                      <w:b/>
                      <w:bCs/>
                      <w:color w:val="auto"/>
                      <w:szCs w:val="21"/>
                    </w:rPr>
                  </w:pPr>
                </w:p>
              </w:tc>
              <w:tc>
                <w:tcPr>
                  <w:tcW w:w="631" w:type="dxa"/>
                  <w:vMerge w:val="continue"/>
                  <w:noWrap w:val="0"/>
                  <w:vAlign w:val="center"/>
                </w:tcPr>
                <w:p>
                  <w:pPr>
                    <w:snapToGrid w:val="0"/>
                    <w:jc w:val="center"/>
                    <w:rPr>
                      <w:b/>
                      <w:bCs/>
                      <w:color w:val="auto"/>
                      <w:szCs w:val="21"/>
                    </w:rPr>
                  </w:pPr>
                </w:p>
              </w:tc>
              <w:tc>
                <w:tcPr>
                  <w:tcW w:w="425" w:type="dxa"/>
                  <w:vMerge w:val="continue"/>
                  <w:noWrap w:val="0"/>
                  <w:vAlign w:val="center"/>
                </w:tcPr>
                <w:p>
                  <w:pPr>
                    <w:snapToGrid w:val="0"/>
                    <w:jc w:val="center"/>
                    <w:rPr>
                      <w:b/>
                      <w:bCs/>
                      <w:color w:val="auto"/>
                      <w:szCs w:val="21"/>
                    </w:rPr>
                  </w:pPr>
                </w:p>
              </w:tc>
              <w:tc>
                <w:tcPr>
                  <w:tcW w:w="425" w:type="dxa"/>
                  <w:noWrap w:val="0"/>
                  <w:vAlign w:val="center"/>
                </w:tcPr>
                <w:p>
                  <w:pPr>
                    <w:snapToGrid w:val="0"/>
                    <w:jc w:val="center"/>
                    <w:rPr>
                      <w:b/>
                      <w:bCs/>
                      <w:color w:val="auto"/>
                      <w:szCs w:val="21"/>
                    </w:rPr>
                  </w:pPr>
                  <w:r>
                    <w:rPr>
                      <w:b/>
                      <w:bCs/>
                      <w:color w:val="auto"/>
                      <w:szCs w:val="21"/>
                    </w:rPr>
                    <w:t>名称</w:t>
                  </w:r>
                </w:p>
              </w:tc>
              <w:tc>
                <w:tcPr>
                  <w:tcW w:w="722" w:type="dxa"/>
                  <w:noWrap w:val="0"/>
                  <w:vAlign w:val="center"/>
                </w:tcPr>
                <w:p>
                  <w:pPr>
                    <w:snapToGrid w:val="0"/>
                    <w:jc w:val="center"/>
                    <w:rPr>
                      <w:b/>
                      <w:bCs/>
                      <w:color w:val="auto"/>
                      <w:szCs w:val="21"/>
                    </w:rPr>
                  </w:pPr>
                  <w:r>
                    <w:rPr>
                      <w:b/>
                      <w:bCs/>
                      <w:color w:val="auto"/>
                      <w:szCs w:val="21"/>
                    </w:rPr>
                    <w:t>污染物种类</w:t>
                  </w:r>
                </w:p>
              </w:tc>
              <w:tc>
                <w:tcPr>
                  <w:tcW w:w="1163" w:type="dxa"/>
                  <w:noWrap w:val="0"/>
                  <w:vAlign w:val="center"/>
                </w:tcPr>
                <w:p>
                  <w:pPr>
                    <w:jc w:val="center"/>
                    <w:rPr>
                      <w:b/>
                      <w:bCs/>
                      <w:color w:val="auto"/>
                      <w:szCs w:val="21"/>
                    </w:rPr>
                  </w:pPr>
                  <w:r>
                    <w:rPr>
                      <w:b/>
                      <w:bCs/>
                      <w:color w:val="auto"/>
                      <w:szCs w:val="21"/>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restart"/>
                  <w:noWrap w:val="0"/>
                  <w:vAlign w:val="center"/>
                </w:tcPr>
                <w:p>
                  <w:pPr>
                    <w:jc w:val="center"/>
                    <w:rPr>
                      <w:color w:val="auto"/>
                      <w:szCs w:val="21"/>
                    </w:rPr>
                  </w:pPr>
                  <w:r>
                    <w:rPr>
                      <w:rFonts w:hint="eastAsia"/>
                      <w:color w:val="auto"/>
                      <w:szCs w:val="21"/>
                    </w:rPr>
                    <w:t>DW00</w:t>
                  </w:r>
                  <w:r>
                    <w:rPr>
                      <w:color w:val="auto"/>
                      <w:szCs w:val="21"/>
                    </w:rPr>
                    <w:t>1</w:t>
                  </w:r>
                </w:p>
              </w:tc>
              <w:tc>
                <w:tcPr>
                  <w:tcW w:w="1514" w:type="dxa"/>
                  <w:vMerge w:val="restart"/>
                  <w:noWrap w:val="0"/>
                  <w:vAlign w:val="center"/>
                </w:tcPr>
                <w:p>
                  <w:pPr>
                    <w:adjustRightInd w:val="0"/>
                    <w:snapToGrid w:val="0"/>
                    <w:spacing w:line="400" w:lineRule="exact"/>
                    <w:jc w:val="center"/>
                    <w:rPr>
                      <w:color w:val="auto"/>
                      <w:szCs w:val="21"/>
                    </w:rPr>
                  </w:pPr>
                  <w:r>
                    <w:rPr>
                      <w:color w:val="auto"/>
                      <w:szCs w:val="21"/>
                    </w:rPr>
                    <w:t>1</w:t>
                  </w:r>
                  <w:r>
                    <w:rPr>
                      <w:rFonts w:hint="eastAsia"/>
                      <w:color w:val="auto"/>
                      <w:szCs w:val="21"/>
                    </w:rPr>
                    <w:t>08</w:t>
                  </w:r>
                  <w:r>
                    <w:rPr>
                      <w:color w:val="auto"/>
                      <w:szCs w:val="21"/>
                    </w:rPr>
                    <w:t>°</w:t>
                  </w:r>
                  <w:r>
                    <w:rPr>
                      <w:rFonts w:hint="eastAsia"/>
                      <w:color w:val="auto"/>
                      <w:szCs w:val="21"/>
                    </w:rPr>
                    <w:t>51</w:t>
                  </w:r>
                  <w:r>
                    <w:rPr>
                      <w:color w:val="auto"/>
                      <w:szCs w:val="21"/>
                    </w:rPr>
                    <w:t>'</w:t>
                  </w:r>
                  <w:r>
                    <w:rPr>
                      <w:rFonts w:hint="eastAsia"/>
                      <w:color w:val="auto"/>
                      <w:szCs w:val="21"/>
                    </w:rPr>
                    <w:t>05.761</w:t>
                  </w:r>
                  <w:r>
                    <w:rPr>
                      <w:color w:val="auto"/>
                      <w:szCs w:val="21"/>
                    </w:rPr>
                    <w:t>″</w:t>
                  </w:r>
                </w:p>
              </w:tc>
              <w:tc>
                <w:tcPr>
                  <w:tcW w:w="1410" w:type="dxa"/>
                  <w:vMerge w:val="restart"/>
                  <w:noWrap w:val="0"/>
                  <w:vAlign w:val="center"/>
                </w:tcPr>
                <w:p>
                  <w:pPr>
                    <w:adjustRightInd w:val="0"/>
                    <w:snapToGrid w:val="0"/>
                    <w:spacing w:line="400" w:lineRule="exact"/>
                    <w:jc w:val="center"/>
                    <w:rPr>
                      <w:color w:val="auto"/>
                      <w:szCs w:val="21"/>
                    </w:rPr>
                  </w:pPr>
                  <w:r>
                    <w:rPr>
                      <w:color w:val="auto"/>
                      <w:szCs w:val="21"/>
                    </w:rPr>
                    <w:t>34°</w:t>
                  </w:r>
                  <w:r>
                    <w:rPr>
                      <w:rFonts w:hint="eastAsia"/>
                      <w:color w:val="auto"/>
                      <w:szCs w:val="21"/>
                    </w:rPr>
                    <w:t>17</w:t>
                  </w:r>
                  <w:r>
                    <w:rPr>
                      <w:color w:val="auto"/>
                      <w:szCs w:val="21"/>
                    </w:rPr>
                    <w:t>'</w:t>
                  </w:r>
                  <w:r>
                    <w:rPr>
                      <w:rFonts w:hint="eastAsia"/>
                      <w:color w:val="auto"/>
                      <w:szCs w:val="21"/>
                    </w:rPr>
                    <w:t>05.279</w:t>
                  </w:r>
                  <w:r>
                    <w:rPr>
                      <w:color w:val="auto"/>
                      <w:szCs w:val="21"/>
                    </w:rPr>
                    <w:t>″</w:t>
                  </w:r>
                </w:p>
              </w:tc>
              <w:tc>
                <w:tcPr>
                  <w:tcW w:w="892" w:type="dxa"/>
                  <w:vMerge w:val="restart"/>
                  <w:noWrap w:val="0"/>
                  <w:vAlign w:val="center"/>
                </w:tcPr>
                <w:p>
                  <w:pPr>
                    <w:jc w:val="center"/>
                    <w:rPr>
                      <w:rFonts w:hint="default" w:eastAsia="宋体"/>
                      <w:color w:val="auto"/>
                      <w:szCs w:val="21"/>
                      <w:lang w:val="en-US" w:eastAsia="zh-CN"/>
                    </w:rPr>
                  </w:pPr>
                  <w:r>
                    <w:rPr>
                      <w:rFonts w:hint="eastAsia"/>
                      <w:color w:val="auto"/>
                      <w:szCs w:val="21"/>
                      <w:lang w:val="en-US" w:eastAsia="zh-CN"/>
                    </w:rPr>
                    <w:t>13052.4</w:t>
                  </w:r>
                </w:p>
              </w:tc>
              <w:tc>
                <w:tcPr>
                  <w:tcW w:w="425" w:type="dxa"/>
                  <w:vMerge w:val="restart"/>
                  <w:noWrap w:val="0"/>
                  <w:vAlign w:val="center"/>
                </w:tcPr>
                <w:p>
                  <w:pPr>
                    <w:jc w:val="center"/>
                    <w:rPr>
                      <w:rFonts w:hint="default" w:eastAsia="宋体"/>
                      <w:color w:val="auto"/>
                      <w:szCs w:val="21"/>
                      <w:lang w:val="en-US" w:eastAsia="zh-CN"/>
                    </w:rPr>
                  </w:pPr>
                  <w:r>
                    <w:rPr>
                      <w:rFonts w:hint="eastAsia"/>
                      <w:color w:val="auto"/>
                      <w:szCs w:val="21"/>
                      <w:lang w:val="en-US" w:eastAsia="zh-CN"/>
                    </w:rPr>
                    <w:t>西安市第四污水处理厂</w:t>
                  </w:r>
                </w:p>
              </w:tc>
              <w:tc>
                <w:tcPr>
                  <w:tcW w:w="631" w:type="dxa"/>
                  <w:vMerge w:val="restart"/>
                  <w:noWrap w:val="0"/>
                  <w:vAlign w:val="center"/>
                </w:tcPr>
                <w:p>
                  <w:pPr>
                    <w:jc w:val="center"/>
                    <w:rPr>
                      <w:color w:val="auto"/>
                      <w:szCs w:val="21"/>
                    </w:rPr>
                  </w:pPr>
                  <w:r>
                    <w:rPr>
                      <w:color w:val="auto"/>
                      <w:szCs w:val="21"/>
                    </w:rPr>
                    <w:t>间断排放</w:t>
                  </w:r>
                </w:p>
              </w:tc>
              <w:tc>
                <w:tcPr>
                  <w:tcW w:w="425" w:type="dxa"/>
                  <w:vMerge w:val="restart"/>
                  <w:noWrap w:val="0"/>
                  <w:vAlign w:val="center"/>
                </w:tcPr>
                <w:p>
                  <w:pPr>
                    <w:jc w:val="center"/>
                    <w:rPr>
                      <w:rFonts w:hint="default" w:eastAsia="宋体"/>
                      <w:color w:val="auto"/>
                      <w:szCs w:val="21"/>
                      <w:lang w:val="en-US" w:eastAsia="zh-CN"/>
                    </w:rPr>
                  </w:pPr>
                  <w:r>
                    <w:rPr>
                      <w:rFonts w:hint="eastAsia"/>
                      <w:color w:val="auto"/>
                      <w:szCs w:val="21"/>
                      <w:lang w:val="en-US" w:eastAsia="zh-CN"/>
                    </w:rPr>
                    <w:t>不定时排放</w:t>
                  </w:r>
                </w:p>
              </w:tc>
              <w:tc>
                <w:tcPr>
                  <w:tcW w:w="425" w:type="dxa"/>
                  <w:vMerge w:val="restart"/>
                  <w:noWrap w:val="0"/>
                  <w:vAlign w:val="center"/>
                </w:tcPr>
                <w:p>
                  <w:pPr>
                    <w:rPr>
                      <w:color w:val="auto"/>
                      <w:szCs w:val="21"/>
                    </w:rPr>
                  </w:pPr>
                  <w:r>
                    <w:rPr>
                      <w:rFonts w:hint="eastAsia"/>
                      <w:color w:val="auto"/>
                      <w:szCs w:val="21"/>
                      <w:lang w:eastAsia="zh-CN"/>
                    </w:rPr>
                    <w:t>污水</w:t>
                  </w:r>
                  <w:r>
                    <w:rPr>
                      <w:rFonts w:hint="eastAsia"/>
                      <w:color w:val="auto"/>
                      <w:szCs w:val="21"/>
                    </w:rPr>
                    <w:t>处理厂</w:t>
                  </w:r>
                </w:p>
              </w:tc>
              <w:tc>
                <w:tcPr>
                  <w:tcW w:w="722" w:type="dxa"/>
                  <w:noWrap w:val="0"/>
                  <w:vAlign w:val="center"/>
                </w:tcPr>
                <w:p>
                  <w:pPr>
                    <w:adjustRightInd w:val="0"/>
                    <w:snapToGrid w:val="0"/>
                    <w:jc w:val="center"/>
                    <w:rPr>
                      <w:color w:val="auto"/>
                      <w:szCs w:val="21"/>
                    </w:rPr>
                  </w:pPr>
                  <w:r>
                    <w:rPr>
                      <w:color w:val="auto"/>
                      <w:szCs w:val="21"/>
                    </w:rPr>
                    <w:t>COD</w:t>
                  </w:r>
                </w:p>
              </w:tc>
              <w:tc>
                <w:tcPr>
                  <w:tcW w:w="1163" w:type="dxa"/>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continue"/>
                  <w:noWrap w:val="0"/>
                  <w:vAlign w:val="center"/>
                </w:tcPr>
                <w:p>
                  <w:pPr>
                    <w:jc w:val="center"/>
                    <w:rPr>
                      <w:color w:val="auto"/>
                      <w:szCs w:val="21"/>
                    </w:rPr>
                  </w:pPr>
                </w:p>
              </w:tc>
              <w:tc>
                <w:tcPr>
                  <w:tcW w:w="1514" w:type="dxa"/>
                  <w:vMerge w:val="continue"/>
                  <w:noWrap w:val="0"/>
                  <w:vAlign w:val="center"/>
                </w:tcPr>
                <w:p>
                  <w:pPr>
                    <w:jc w:val="center"/>
                    <w:rPr>
                      <w:color w:val="auto"/>
                      <w:szCs w:val="21"/>
                    </w:rPr>
                  </w:pPr>
                </w:p>
              </w:tc>
              <w:tc>
                <w:tcPr>
                  <w:tcW w:w="1410" w:type="dxa"/>
                  <w:vMerge w:val="continue"/>
                  <w:noWrap w:val="0"/>
                  <w:vAlign w:val="center"/>
                </w:tcPr>
                <w:p>
                  <w:pPr>
                    <w:jc w:val="center"/>
                    <w:rPr>
                      <w:color w:val="auto"/>
                      <w:szCs w:val="21"/>
                    </w:rPr>
                  </w:pPr>
                </w:p>
              </w:tc>
              <w:tc>
                <w:tcPr>
                  <w:tcW w:w="892"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631"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722" w:type="dxa"/>
                  <w:noWrap w:val="0"/>
                  <w:vAlign w:val="center"/>
                </w:tcPr>
                <w:p>
                  <w:pPr>
                    <w:adjustRightInd w:val="0"/>
                    <w:snapToGrid w:val="0"/>
                    <w:jc w:val="center"/>
                    <w:rPr>
                      <w:color w:val="auto"/>
                      <w:szCs w:val="21"/>
                    </w:rPr>
                  </w:pPr>
                  <w:r>
                    <w:rPr>
                      <w:color w:val="auto"/>
                      <w:szCs w:val="21"/>
                    </w:rPr>
                    <w:t>BOD</w:t>
                  </w:r>
                  <w:r>
                    <w:rPr>
                      <w:color w:val="auto"/>
                      <w:szCs w:val="21"/>
                      <w:vertAlign w:val="subscript"/>
                    </w:rPr>
                    <w:t>5</w:t>
                  </w:r>
                </w:p>
              </w:tc>
              <w:tc>
                <w:tcPr>
                  <w:tcW w:w="1163" w:type="dxa"/>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continue"/>
                  <w:noWrap w:val="0"/>
                  <w:vAlign w:val="center"/>
                </w:tcPr>
                <w:p>
                  <w:pPr>
                    <w:jc w:val="center"/>
                    <w:rPr>
                      <w:color w:val="auto"/>
                      <w:szCs w:val="21"/>
                    </w:rPr>
                  </w:pPr>
                </w:p>
              </w:tc>
              <w:tc>
                <w:tcPr>
                  <w:tcW w:w="1514" w:type="dxa"/>
                  <w:vMerge w:val="continue"/>
                  <w:noWrap w:val="0"/>
                  <w:vAlign w:val="center"/>
                </w:tcPr>
                <w:p>
                  <w:pPr>
                    <w:jc w:val="center"/>
                    <w:rPr>
                      <w:color w:val="auto"/>
                      <w:szCs w:val="21"/>
                    </w:rPr>
                  </w:pPr>
                </w:p>
              </w:tc>
              <w:tc>
                <w:tcPr>
                  <w:tcW w:w="1410" w:type="dxa"/>
                  <w:vMerge w:val="continue"/>
                  <w:noWrap w:val="0"/>
                  <w:vAlign w:val="center"/>
                </w:tcPr>
                <w:p>
                  <w:pPr>
                    <w:jc w:val="center"/>
                    <w:rPr>
                      <w:color w:val="auto"/>
                      <w:szCs w:val="21"/>
                    </w:rPr>
                  </w:pPr>
                </w:p>
              </w:tc>
              <w:tc>
                <w:tcPr>
                  <w:tcW w:w="892"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631"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722" w:type="dxa"/>
                  <w:noWrap w:val="0"/>
                  <w:vAlign w:val="center"/>
                </w:tcPr>
                <w:p>
                  <w:pPr>
                    <w:adjustRightInd w:val="0"/>
                    <w:snapToGrid w:val="0"/>
                    <w:jc w:val="center"/>
                    <w:rPr>
                      <w:color w:val="auto"/>
                      <w:szCs w:val="21"/>
                    </w:rPr>
                  </w:pPr>
                  <w:r>
                    <w:rPr>
                      <w:color w:val="auto"/>
                      <w:szCs w:val="21"/>
                    </w:rPr>
                    <w:t>SS</w:t>
                  </w:r>
                </w:p>
              </w:tc>
              <w:tc>
                <w:tcPr>
                  <w:tcW w:w="1163" w:type="dxa"/>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continue"/>
                  <w:noWrap w:val="0"/>
                  <w:vAlign w:val="center"/>
                </w:tcPr>
                <w:p>
                  <w:pPr>
                    <w:jc w:val="center"/>
                    <w:rPr>
                      <w:color w:val="auto"/>
                      <w:szCs w:val="21"/>
                    </w:rPr>
                  </w:pPr>
                </w:p>
              </w:tc>
              <w:tc>
                <w:tcPr>
                  <w:tcW w:w="1514" w:type="dxa"/>
                  <w:vMerge w:val="continue"/>
                  <w:noWrap w:val="0"/>
                  <w:vAlign w:val="center"/>
                </w:tcPr>
                <w:p>
                  <w:pPr>
                    <w:jc w:val="center"/>
                    <w:rPr>
                      <w:color w:val="auto"/>
                      <w:szCs w:val="21"/>
                    </w:rPr>
                  </w:pPr>
                </w:p>
              </w:tc>
              <w:tc>
                <w:tcPr>
                  <w:tcW w:w="1410" w:type="dxa"/>
                  <w:vMerge w:val="continue"/>
                  <w:noWrap w:val="0"/>
                  <w:vAlign w:val="center"/>
                </w:tcPr>
                <w:p>
                  <w:pPr>
                    <w:jc w:val="center"/>
                    <w:rPr>
                      <w:color w:val="auto"/>
                      <w:szCs w:val="21"/>
                    </w:rPr>
                  </w:pPr>
                </w:p>
              </w:tc>
              <w:tc>
                <w:tcPr>
                  <w:tcW w:w="892"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631"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722" w:type="dxa"/>
                  <w:noWrap w:val="0"/>
                  <w:vAlign w:val="center"/>
                </w:tcPr>
                <w:p>
                  <w:pPr>
                    <w:adjustRightInd w:val="0"/>
                    <w:snapToGrid w:val="0"/>
                    <w:jc w:val="center"/>
                    <w:rPr>
                      <w:color w:val="auto"/>
                      <w:szCs w:val="21"/>
                    </w:rPr>
                  </w:pPr>
                  <w:r>
                    <w:rPr>
                      <w:color w:val="auto"/>
                      <w:szCs w:val="21"/>
                    </w:rPr>
                    <w:t>氨氮</w:t>
                  </w:r>
                </w:p>
              </w:tc>
              <w:tc>
                <w:tcPr>
                  <w:tcW w:w="1163" w:type="dxa"/>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continue"/>
                  <w:noWrap w:val="0"/>
                  <w:vAlign w:val="center"/>
                </w:tcPr>
                <w:p>
                  <w:pPr>
                    <w:jc w:val="center"/>
                    <w:rPr>
                      <w:color w:val="auto"/>
                      <w:szCs w:val="21"/>
                    </w:rPr>
                  </w:pPr>
                </w:p>
              </w:tc>
              <w:tc>
                <w:tcPr>
                  <w:tcW w:w="1514" w:type="dxa"/>
                  <w:vMerge w:val="continue"/>
                  <w:noWrap w:val="0"/>
                  <w:vAlign w:val="center"/>
                </w:tcPr>
                <w:p>
                  <w:pPr>
                    <w:jc w:val="center"/>
                    <w:rPr>
                      <w:color w:val="auto"/>
                      <w:szCs w:val="21"/>
                    </w:rPr>
                  </w:pPr>
                </w:p>
              </w:tc>
              <w:tc>
                <w:tcPr>
                  <w:tcW w:w="1410" w:type="dxa"/>
                  <w:vMerge w:val="continue"/>
                  <w:noWrap w:val="0"/>
                  <w:vAlign w:val="center"/>
                </w:tcPr>
                <w:p>
                  <w:pPr>
                    <w:jc w:val="center"/>
                    <w:rPr>
                      <w:color w:val="auto"/>
                      <w:szCs w:val="21"/>
                    </w:rPr>
                  </w:pPr>
                </w:p>
              </w:tc>
              <w:tc>
                <w:tcPr>
                  <w:tcW w:w="892"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631"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722" w:type="dxa"/>
                  <w:noWrap w:val="0"/>
                  <w:vAlign w:val="center"/>
                </w:tcPr>
                <w:p>
                  <w:pPr>
                    <w:adjustRightInd w:val="0"/>
                    <w:snapToGrid w:val="0"/>
                    <w:jc w:val="center"/>
                    <w:rPr>
                      <w:color w:val="auto"/>
                      <w:szCs w:val="21"/>
                    </w:rPr>
                  </w:pPr>
                  <w:r>
                    <w:rPr>
                      <w:color w:val="auto"/>
                      <w:szCs w:val="21"/>
                    </w:rPr>
                    <w:t>粪大肠菌</w:t>
                  </w:r>
                  <w:r>
                    <w:rPr>
                      <w:rFonts w:hint="eastAsia"/>
                      <w:color w:val="auto"/>
                      <w:szCs w:val="21"/>
                    </w:rPr>
                    <w:t>群</w:t>
                  </w:r>
                </w:p>
              </w:tc>
              <w:tc>
                <w:tcPr>
                  <w:tcW w:w="1163" w:type="dxa"/>
                  <w:noWrap w:val="0"/>
                  <w:vAlign w:val="center"/>
                </w:tcPr>
                <w:p>
                  <w:pPr>
                    <w:snapToGrid w:val="0"/>
                    <w:jc w:val="center"/>
                    <w:rPr>
                      <w:rFonts w:hint="default"/>
                      <w:color w:val="auto"/>
                      <w:szCs w:val="21"/>
                      <w:lang w:val="en-US"/>
                    </w:rPr>
                  </w:pPr>
                  <w:r>
                    <w:rPr>
                      <w:rFonts w:hint="eastAsia"/>
                      <w:color w:val="auto"/>
                      <w:szCs w:val="21"/>
                      <w:lang w:val="en-US" w:eastAsia="zh-CN"/>
                    </w:rPr>
                    <w:t>20000个/L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continue"/>
                  <w:noWrap w:val="0"/>
                  <w:vAlign w:val="center"/>
                </w:tcPr>
                <w:p>
                  <w:pPr>
                    <w:jc w:val="center"/>
                    <w:rPr>
                      <w:color w:val="auto"/>
                      <w:szCs w:val="21"/>
                    </w:rPr>
                  </w:pPr>
                </w:p>
              </w:tc>
              <w:tc>
                <w:tcPr>
                  <w:tcW w:w="1514" w:type="dxa"/>
                  <w:vMerge w:val="continue"/>
                  <w:noWrap w:val="0"/>
                  <w:vAlign w:val="center"/>
                </w:tcPr>
                <w:p>
                  <w:pPr>
                    <w:jc w:val="center"/>
                    <w:rPr>
                      <w:color w:val="auto"/>
                      <w:szCs w:val="21"/>
                    </w:rPr>
                  </w:pPr>
                </w:p>
              </w:tc>
              <w:tc>
                <w:tcPr>
                  <w:tcW w:w="1410" w:type="dxa"/>
                  <w:vMerge w:val="continue"/>
                  <w:noWrap w:val="0"/>
                  <w:vAlign w:val="center"/>
                </w:tcPr>
                <w:p>
                  <w:pPr>
                    <w:jc w:val="center"/>
                    <w:rPr>
                      <w:color w:val="auto"/>
                      <w:szCs w:val="21"/>
                    </w:rPr>
                  </w:pPr>
                </w:p>
              </w:tc>
              <w:tc>
                <w:tcPr>
                  <w:tcW w:w="892"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631"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722" w:type="dxa"/>
                  <w:noWrap w:val="0"/>
                  <w:vAlign w:val="center"/>
                </w:tcPr>
                <w:p>
                  <w:pPr>
                    <w:adjustRightInd w:val="0"/>
                    <w:snapToGrid w:val="0"/>
                    <w:jc w:val="center"/>
                    <w:rPr>
                      <w:color w:val="auto"/>
                      <w:szCs w:val="21"/>
                    </w:rPr>
                  </w:pPr>
                  <w:r>
                    <w:rPr>
                      <w:color w:val="auto"/>
                      <w:szCs w:val="21"/>
                    </w:rPr>
                    <w:t>TP</w:t>
                  </w:r>
                </w:p>
              </w:tc>
              <w:tc>
                <w:tcPr>
                  <w:tcW w:w="1163" w:type="dxa"/>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3" w:type="dxa"/>
                  <w:vMerge w:val="continue"/>
                  <w:noWrap w:val="0"/>
                  <w:vAlign w:val="center"/>
                </w:tcPr>
                <w:p>
                  <w:pPr>
                    <w:jc w:val="center"/>
                    <w:rPr>
                      <w:color w:val="auto"/>
                      <w:szCs w:val="21"/>
                    </w:rPr>
                  </w:pPr>
                </w:p>
              </w:tc>
              <w:tc>
                <w:tcPr>
                  <w:tcW w:w="1514" w:type="dxa"/>
                  <w:vMerge w:val="continue"/>
                  <w:noWrap w:val="0"/>
                  <w:vAlign w:val="center"/>
                </w:tcPr>
                <w:p>
                  <w:pPr>
                    <w:jc w:val="center"/>
                    <w:rPr>
                      <w:color w:val="auto"/>
                      <w:szCs w:val="21"/>
                    </w:rPr>
                  </w:pPr>
                </w:p>
              </w:tc>
              <w:tc>
                <w:tcPr>
                  <w:tcW w:w="1410" w:type="dxa"/>
                  <w:vMerge w:val="continue"/>
                  <w:noWrap w:val="0"/>
                  <w:vAlign w:val="center"/>
                </w:tcPr>
                <w:p>
                  <w:pPr>
                    <w:jc w:val="center"/>
                    <w:rPr>
                      <w:color w:val="auto"/>
                      <w:szCs w:val="21"/>
                    </w:rPr>
                  </w:pPr>
                </w:p>
              </w:tc>
              <w:tc>
                <w:tcPr>
                  <w:tcW w:w="892"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631"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425" w:type="dxa"/>
                  <w:vMerge w:val="continue"/>
                  <w:noWrap w:val="0"/>
                  <w:vAlign w:val="center"/>
                </w:tcPr>
                <w:p>
                  <w:pPr>
                    <w:jc w:val="center"/>
                    <w:rPr>
                      <w:color w:val="auto"/>
                      <w:szCs w:val="21"/>
                    </w:rPr>
                  </w:pPr>
                </w:p>
              </w:tc>
              <w:tc>
                <w:tcPr>
                  <w:tcW w:w="722" w:type="dxa"/>
                  <w:noWrap w:val="0"/>
                  <w:vAlign w:val="center"/>
                </w:tcPr>
                <w:p>
                  <w:pPr>
                    <w:adjustRightInd w:val="0"/>
                    <w:snapToGrid w:val="0"/>
                    <w:jc w:val="center"/>
                    <w:rPr>
                      <w:color w:val="auto"/>
                      <w:szCs w:val="21"/>
                    </w:rPr>
                  </w:pPr>
                  <w:r>
                    <w:rPr>
                      <w:color w:val="auto"/>
                      <w:szCs w:val="21"/>
                    </w:rPr>
                    <w:t>TN</w:t>
                  </w:r>
                </w:p>
              </w:tc>
              <w:tc>
                <w:tcPr>
                  <w:tcW w:w="1163" w:type="dxa"/>
                  <w:noWrap w:val="0"/>
                  <w:vAlign w:val="center"/>
                </w:tcPr>
                <w:p>
                  <w:pPr>
                    <w:snapToGrid w:val="0"/>
                    <w:jc w:val="center"/>
                    <w:rPr>
                      <w:rFonts w:hint="default" w:eastAsia="宋体"/>
                      <w:color w:val="auto"/>
                      <w:szCs w:val="21"/>
                      <w:lang w:val="en-US" w:eastAsia="zh-CN"/>
                    </w:rPr>
                  </w:pPr>
                  <w:r>
                    <w:rPr>
                      <w:rFonts w:hint="eastAsia"/>
                      <w:color w:val="auto"/>
                      <w:szCs w:val="21"/>
                      <w:lang w:val="en-US" w:eastAsia="zh-CN"/>
                    </w:rPr>
                    <w:t>12</w:t>
                  </w:r>
                </w:p>
              </w:tc>
            </w:tr>
          </w:tbl>
          <w:p>
            <w:pPr>
              <w:pStyle w:val="42"/>
              <w:spacing w:line="360" w:lineRule="auto"/>
              <w:ind w:left="420" w:leftChars="200"/>
              <w:jc w:val="both"/>
              <w:rPr>
                <w:rFonts w:ascii="Times New Roman" w:hAnsi="Times New Roman" w:eastAsia="宋体"/>
                <w:bCs/>
                <w:color w:val="auto"/>
                <w:sz w:val="24"/>
                <w:szCs w:val="24"/>
              </w:rPr>
            </w:pPr>
            <w:r>
              <w:rPr>
                <w:rFonts w:ascii="Times New Roman" w:hAnsi="Times New Roman" w:eastAsia="宋体"/>
                <w:bCs/>
                <w:color w:val="auto"/>
                <w:sz w:val="24"/>
                <w:szCs w:val="24"/>
              </w:rPr>
              <w:t>⑦排放标准</w:t>
            </w:r>
          </w:p>
          <w:p>
            <w:pPr>
              <w:pStyle w:val="42"/>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本项目废水排放执行</w:t>
            </w:r>
            <w:r>
              <w:rPr>
                <w:rFonts w:ascii="Times New Roman" w:hAnsi="Times New Roman" w:eastAsia="宋体"/>
                <w:color w:val="auto"/>
                <w:sz w:val="24"/>
                <w:szCs w:val="24"/>
              </w:rPr>
              <w:t>《医疗机构水污染物排放标准》（GB18466-2005）表2预处理标准及《污水排入城镇下水道水质标准》（GB/T31962-2015）</w:t>
            </w:r>
            <w:r>
              <w:rPr>
                <w:rFonts w:hint="eastAsia" w:ascii="Times New Roman" w:hAnsi="Times New Roman" w:eastAsia="宋体"/>
                <w:color w:val="auto"/>
                <w:sz w:val="24"/>
                <w:szCs w:val="24"/>
              </w:rPr>
              <w:t>A级标准</w:t>
            </w:r>
            <w:r>
              <w:rPr>
                <w:rFonts w:hint="eastAsia" w:ascii="Times New Roman" w:hAnsi="Times New Roman" w:eastAsia="宋体"/>
                <w:bCs/>
                <w:color w:val="auto"/>
                <w:sz w:val="24"/>
                <w:szCs w:val="24"/>
              </w:rPr>
              <w:t>。</w:t>
            </w:r>
          </w:p>
          <w:p>
            <w:pPr>
              <w:pStyle w:val="42"/>
              <w:spacing w:line="360" w:lineRule="auto"/>
              <w:ind w:firstLine="480" w:firstLineChars="200"/>
              <w:jc w:val="both"/>
              <w:rPr>
                <w:rFonts w:ascii="Times New Roman" w:hAnsi="Times New Roman" w:eastAsia="宋体"/>
                <w:bCs/>
                <w:color w:val="auto"/>
                <w:sz w:val="24"/>
                <w:szCs w:val="24"/>
              </w:rPr>
            </w:pPr>
            <w:r>
              <w:rPr>
                <w:rFonts w:ascii="Times New Roman" w:hAnsi="Times New Roman" w:eastAsia="宋体"/>
                <w:bCs/>
                <w:color w:val="auto"/>
                <w:sz w:val="24"/>
                <w:szCs w:val="24"/>
              </w:rPr>
              <w:t>（3）监测要求</w:t>
            </w:r>
          </w:p>
          <w:p>
            <w:pPr>
              <w:pStyle w:val="42"/>
              <w:spacing w:line="360" w:lineRule="auto"/>
              <w:ind w:firstLine="480" w:firstLineChars="200"/>
              <w:jc w:val="both"/>
              <w:rPr>
                <w:rFonts w:ascii="Times New Roman" w:hAnsi="Times New Roman" w:eastAsia="宋体"/>
                <w:bCs/>
                <w:color w:val="auto"/>
                <w:sz w:val="21"/>
                <w:szCs w:val="21"/>
              </w:rPr>
            </w:pPr>
            <w:r>
              <w:rPr>
                <w:rFonts w:ascii="Times New Roman" w:hAnsi="Times New Roman" w:eastAsia="宋体"/>
                <w:bCs/>
                <w:color w:val="auto"/>
                <w:sz w:val="24"/>
                <w:szCs w:val="24"/>
              </w:rPr>
              <w:t>本项目运营后应定期委托有资质环境监测单位对废水开展污染源监测，以便及时掌握产排污规律，加强污染治理。</w:t>
            </w:r>
            <w:r>
              <w:rPr>
                <w:rFonts w:hint="eastAsia" w:ascii="Times New Roman" w:hAnsi="Times New Roman" w:eastAsia="宋体"/>
                <w:bCs/>
                <w:color w:val="auto"/>
                <w:sz w:val="24"/>
                <w:szCs w:val="24"/>
              </w:rPr>
              <w:t>根据项目排污特点及</w:t>
            </w:r>
            <w:r>
              <w:rPr>
                <w:rFonts w:hint="eastAsia" w:ascii="Times New Roman" w:hAnsi="Times New Roman"/>
                <w:bCs/>
                <w:color w:val="auto"/>
                <w:sz w:val="24"/>
                <w:szCs w:val="24"/>
                <w:lang w:eastAsia="zh-CN"/>
              </w:rPr>
              <w:t>《</w:t>
            </w:r>
            <w:r>
              <w:rPr>
                <w:rFonts w:hint="eastAsia" w:ascii="Times New Roman" w:hAnsi="Times New Roman" w:eastAsia="宋体"/>
                <w:bCs/>
                <w:color w:val="auto"/>
                <w:sz w:val="24"/>
                <w:szCs w:val="24"/>
              </w:rPr>
              <w:t>排污许可证申请与核发技术规范 医疗机构</w:t>
            </w:r>
            <w:r>
              <w:rPr>
                <w:rFonts w:hint="eastAsia" w:ascii="Times New Roman" w:hAnsi="Times New Roman"/>
                <w:bCs/>
                <w:color w:val="auto"/>
                <w:sz w:val="24"/>
                <w:szCs w:val="24"/>
                <w:lang w:eastAsia="zh-CN"/>
              </w:rPr>
              <w:t>》</w:t>
            </w:r>
            <w:r>
              <w:rPr>
                <w:rFonts w:hint="eastAsia" w:ascii="Times New Roman" w:hAnsi="Times New Roman" w:eastAsia="宋体"/>
                <w:bCs/>
                <w:color w:val="auto"/>
                <w:sz w:val="24"/>
                <w:szCs w:val="24"/>
              </w:rPr>
              <w:t>（HJ 1105—2020）</w:t>
            </w:r>
            <w:r>
              <w:rPr>
                <w:rFonts w:hint="eastAsia" w:ascii="Times New Roman" w:hAnsi="Times New Roman"/>
                <w:bCs/>
                <w:color w:val="auto"/>
                <w:sz w:val="24"/>
                <w:szCs w:val="24"/>
                <w:lang w:val="en-US" w:eastAsia="zh-CN"/>
              </w:rPr>
              <w:t>内容</w:t>
            </w:r>
            <w:r>
              <w:rPr>
                <w:rFonts w:hint="eastAsia" w:ascii="Times New Roman" w:hAnsi="Times New Roman" w:eastAsia="宋体"/>
                <w:bCs/>
                <w:color w:val="auto"/>
                <w:sz w:val="24"/>
                <w:szCs w:val="24"/>
              </w:rPr>
              <w:t>，</w:t>
            </w:r>
            <w:r>
              <w:rPr>
                <w:rFonts w:ascii="Times New Roman" w:hAnsi="Times New Roman" w:eastAsia="宋体"/>
                <w:bCs/>
                <w:color w:val="auto"/>
                <w:sz w:val="24"/>
                <w:szCs w:val="24"/>
              </w:rPr>
              <w:t>项目运营期环境监测计划见下表</w:t>
            </w:r>
            <w:r>
              <w:rPr>
                <w:rFonts w:hint="eastAsia" w:ascii="Times New Roman" w:hAnsi="Times New Roman" w:eastAsia="宋体"/>
                <w:bCs/>
                <w:color w:val="auto"/>
                <w:sz w:val="24"/>
                <w:szCs w:val="24"/>
              </w:rPr>
              <w:t>。</w:t>
            </w:r>
          </w:p>
          <w:p>
            <w:pPr>
              <w:pStyle w:val="76"/>
              <w:rPr>
                <w:color w:val="auto"/>
                <w:szCs w:val="21"/>
              </w:rPr>
            </w:pPr>
            <w:r>
              <w:rPr>
                <w:color w:val="auto"/>
                <w:szCs w:val="21"/>
              </w:rPr>
              <w:t>表4-</w:t>
            </w:r>
            <w:r>
              <w:rPr>
                <w:rFonts w:hint="eastAsia"/>
                <w:color w:val="auto"/>
                <w:szCs w:val="21"/>
                <w:lang w:val="en-US" w:eastAsia="zh-CN"/>
              </w:rPr>
              <w:t>7</w:t>
            </w:r>
            <w:r>
              <w:rPr>
                <w:rFonts w:hint="eastAsia"/>
                <w:color w:val="auto"/>
                <w:szCs w:val="21"/>
              </w:rPr>
              <w:t xml:space="preserve">    </w:t>
            </w:r>
            <w:r>
              <w:rPr>
                <w:color w:val="auto"/>
                <w:szCs w:val="21"/>
              </w:rPr>
              <w:t>废水监测内容及计划一览表</w:t>
            </w:r>
          </w:p>
          <w:tbl>
            <w:tblPr>
              <w:tblStyle w:val="2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7"/>
              <w:gridCol w:w="730"/>
              <w:gridCol w:w="1891"/>
              <w:gridCol w:w="1211"/>
              <w:gridCol w:w="1264"/>
              <w:gridCol w:w="2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gridSpan w:val="2"/>
                  <w:shd w:val="clear" w:color="auto" w:fill="auto"/>
                  <w:noWrap w:val="0"/>
                  <w:vAlign w:val="center"/>
                </w:tcPr>
                <w:p>
                  <w:pPr>
                    <w:snapToGrid w:val="0"/>
                    <w:jc w:val="center"/>
                    <w:rPr>
                      <w:color w:val="auto"/>
                      <w:szCs w:val="21"/>
                    </w:rPr>
                  </w:pPr>
                  <w:r>
                    <w:rPr>
                      <w:color w:val="auto"/>
                      <w:szCs w:val="21"/>
                    </w:rPr>
                    <w:t>类别</w:t>
                  </w:r>
                </w:p>
              </w:tc>
              <w:tc>
                <w:tcPr>
                  <w:tcW w:w="1891" w:type="dxa"/>
                  <w:shd w:val="clear" w:color="auto" w:fill="auto"/>
                  <w:noWrap w:val="0"/>
                  <w:vAlign w:val="center"/>
                </w:tcPr>
                <w:p>
                  <w:pPr>
                    <w:snapToGrid w:val="0"/>
                    <w:jc w:val="center"/>
                    <w:rPr>
                      <w:color w:val="auto"/>
                      <w:szCs w:val="21"/>
                    </w:rPr>
                  </w:pPr>
                  <w:r>
                    <w:rPr>
                      <w:color w:val="auto"/>
                      <w:szCs w:val="21"/>
                    </w:rPr>
                    <w:t>监测因子</w:t>
                  </w:r>
                </w:p>
              </w:tc>
              <w:tc>
                <w:tcPr>
                  <w:tcW w:w="1211" w:type="dxa"/>
                  <w:shd w:val="clear" w:color="auto" w:fill="auto"/>
                  <w:noWrap w:val="0"/>
                  <w:vAlign w:val="center"/>
                </w:tcPr>
                <w:p>
                  <w:pPr>
                    <w:snapToGrid w:val="0"/>
                    <w:jc w:val="center"/>
                    <w:rPr>
                      <w:color w:val="auto"/>
                      <w:szCs w:val="21"/>
                    </w:rPr>
                  </w:pPr>
                  <w:r>
                    <w:rPr>
                      <w:color w:val="auto"/>
                      <w:szCs w:val="21"/>
                    </w:rPr>
                    <w:t>监测</w:t>
                  </w:r>
                  <w:r>
                    <w:rPr>
                      <w:rFonts w:hint="eastAsia"/>
                      <w:color w:val="auto"/>
                      <w:szCs w:val="21"/>
                    </w:rPr>
                    <w:t>点位</w:t>
                  </w:r>
                </w:p>
              </w:tc>
              <w:tc>
                <w:tcPr>
                  <w:tcW w:w="1264" w:type="dxa"/>
                  <w:shd w:val="clear" w:color="auto" w:fill="auto"/>
                  <w:noWrap w:val="0"/>
                  <w:vAlign w:val="center"/>
                </w:tcPr>
                <w:p>
                  <w:pPr>
                    <w:snapToGrid w:val="0"/>
                    <w:jc w:val="center"/>
                    <w:rPr>
                      <w:color w:val="auto"/>
                      <w:szCs w:val="21"/>
                    </w:rPr>
                  </w:pPr>
                  <w:r>
                    <w:rPr>
                      <w:color w:val="auto"/>
                      <w:szCs w:val="21"/>
                    </w:rPr>
                    <w:t>监测频次</w:t>
                  </w:r>
                </w:p>
              </w:tc>
              <w:tc>
                <w:tcPr>
                  <w:tcW w:w="2763" w:type="dxa"/>
                  <w:shd w:val="clear" w:color="auto" w:fill="auto"/>
                  <w:noWrap w:val="0"/>
                  <w:vAlign w:val="center"/>
                </w:tcPr>
                <w:p>
                  <w:pPr>
                    <w:snapToGrid w:val="0"/>
                    <w:jc w:val="center"/>
                    <w:rPr>
                      <w:color w:val="auto"/>
                      <w:szCs w:val="21"/>
                    </w:rPr>
                  </w:pPr>
                  <w:r>
                    <w:rPr>
                      <w:color w:val="auto"/>
                      <w:szCs w:val="21"/>
                    </w:rPr>
                    <w:t>控制标准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27" w:type="dxa"/>
                  <w:vMerge w:val="restart"/>
                  <w:shd w:val="clear" w:color="auto" w:fill="auto"/>
                  <w:noWrap w:val="0"/>
                  <w:vAlign w:val="center"/>
                </w:tcPr>
                <w:p>
                  <w:pPr>
                    <w:snapToGrid w:val="0"/>
                    <w:jc w:val="center"/>
                    <w:rPr>
                      <w:color w:val="auto"/>
                      <w:szCs w:val="21"/>
                    </w:rPr>
                  </w:pPr>
                  <w:r>
                    <w:rPr>
                      <w:color w:val="auto"/>
                      <w:szCs w:val="21"/>
                    </w:rPr>
                    <w:t>废水</w:t>
                  </w:r>
                </w:p>
              </w:tc>
              <w:tc>
                <w:tcPr>
                  <w:tcW w:w="730" w:type="dxa"/>
                  <w:vMerge w:val="restart"/>
                  <w:shd w:val="clear" w:color="auto" w:fill="auto"/>
                  <w:noWrap w:val="0"/>
                  <w:vAlign w:val="center"/>
                </w:tcPr>
                <w:p>
                  <w:pPr>
                    <w:snapToGrid w:val="0"/>
                    <w:jc w:val="center"/>
                    <w:rPr>
                      <w:color w:val="auto"/>
                      <w:szCs w:val="21"/>
                    </w:rPr>
                  </w:pPr>
                  <w:r>
                    <w:rPr>
                      <w:rFonts w:hint="eastAsia"/>
                      <w:color w:val="auto"/>
                      <w:szCs w:val="21"/>
                    </w:rPr>
                    <w:t>混合废水</w:t>
                  </w:r>
                </w:p>
              </w:tc>
              <w:tc>
                <w:tcPr>
                  <w:tcW w:w="1891" w:type="dxa"/>
                  <w:shd w:val="clear" w:color="auto" w:fill="auto"/>
                  <w:noWrap w:val="0"/>
                  <w:vAlign w:val="center"/>
                </w:tcPr>
                <w:p>
                  <w:pPr>
                    <w:spacing w:line="300" w:lineRule="exact"/>
                    <w:jc w:val="center"/>
                    <w:rPr>
                      <w:rFonts w:hint="default" w:eastAsia="宋体"/>
                      <w:color w:val="auto"/>
                      <w:szCs w:val="21"/>
                      <w:lang w:val="en-US" w:eastAsia="zh-CN"/>
                    </w:rPr>
                  </w:pPr>
                  <w:r>
                    <w:rPr>
                      <w:rFonts w:hint="eastAsia"/>
                      <w:color w:val="auto"/>
                      <w:szCs w:val="21"/>
                    </w:rPr>
                    <w:t>流量</w:t>
                  </w:r>
                </w:p>
              </w:tc>
              <w:tc>
                <w:tcPr>
                  <w:tcW w:w="1211" w:type="dxa"/>
                  <w:vMerge w:val="restart"/>
                  <w:shd w:val="clear" w:color="auto" w:fill="auto"/>
                  <w:noWrap w:val="0"/>
                  <w:vAlign w:val="center"/>
                </w:tcPr>
                <w:p>
                  <w:pPr>
                    <w:snapToGrid w:val="0"/>
                    <w:jc w:val="center"/>
                    <w:rPr>
                      <w:color w:val="auto"/>
                      <w:szCs w:val="21"/>
                    </w:rPr>
                  </w:pPr>
                  <w:r>
                    <w:rPr>
                      <w:color w:val="auto"/>
                      <w:szCs w:val="21"/>
                    </w:rPr>
                    <w:t>废水</w:t>
                  </w:r>
                </w:p>
                <w:p>
                  <w:pPr>
                    <w:snapToGrid w:val="0"/>
                    <w:jc w:val="center"/>
                    <w:rPr>
                      <w:color w:val="auto"/>
                      <w:szCs w:val="21"/>
                    </w:rPr>
                  </w:pPr>
                  <w:r>
                    <w:rPr>
                      <w:color w:val="auto"/>
                      <w:szCs w:val="21"/>
                    </w:rPr>
                    <w:t>总排口</w:t>
                  </w:r>
                </w:p>
              </w:tc>
              <w:tc>
                <w:tcPr>
                  <w:tcW w:w="1264" w:type="dxa"/>
                  <w:shd w:val="clear" w:color="auto" w:fill="auto"/>
                  <w:noWrap w:val="0"/>
                  <w:vAlign w:val="center"/>
                </w:tcPr>
                <w:p>
                  <w:pPr>
                    <w:spacing w:line="300" w:lineRule="exact"/>
                    <w:jc w:val="center"/>
                    <w:rPr>
                      <w:rFonts w:hint="eastAsia" w:eastAsia="宋体"/>
                      <w:color w:val="auto"/>
                      <w:szCs w:val="21"/>
                      <w:lang w:eastAsia="zh-CN"/>
                    </w:rPr>
                  </w:pPr>
                  <w:r>
                    <w:rPr>
                      <w:rFonts w:hint="eastAsia"/>
                      <w:color w:val="auto"/>
                      <w:szCs w:val="21"/>
                      <w:lang w:val="en-US" w:eastAsia="zh-CN"/>
                    </w:rPr>
                    <w:t>自动监测</w:t>
                  </w:r>
                </w:p>
              </w:tc>
              <w:tc>
                <w:tcPr>
                  <w:tcW w:w="2763" w:type="dxa"/>
                  <w:vMerge w:val="restart"/>
                  <w:shd w:val="clear" w:color="auto" w:fill="auto"/>
                  <w:noWrap w:val="0"/>
                  <w:vAlign w:val="center"/>
                </w:tcPr>
                <w:p>
                  <w:pPr>
                    <w:snapToGrid w:val="0"/>
                    <w:jc w:val="center"/>
                    <w:rPr>
                      <w:color w:val="auto"/>
                      <w:szCs w:val="21"/>
                    </w:rPr>
                  </w:pPr>
                  <w:r>
                    <w:rPr>
                      <w:color w:val="auto"/>
                      <w:szCs w:val="21"/>
                    </w:rPr>
                    <w:t>《医疗机构水污染物排放标准》（GB18466-2005）的相关要求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27" w:type="dxa"/>
                  <w:vMerge w:val="continue"/>
                  <w:shd w:val="clear" w:color="auto" w:fill="auto"/>
                  <w:noWrap w:val="0"/>
                  <w:vAlign w:val="center"/>
                </w:tcPr>
                <w:p>
                  <w:pPr>
                    <w:snapToGrid w:val="0"/>
                    <w:jc w:val="center"/>
                    <w:rPr>
                      <w:color w:val="auto"/>
                      <w:szCs w:val="21"/>
                    </w:rPr>
                  </w:pPr>
                </w:p>
              </w:tc>
              <w:tc>
                <w:tcPr>
                  <w:tcW w:w="730" w:type="dxa"/>
                  <w:vMerge w:val="continue"/>
                  <w:shd w:val="clear" w:color="auto" w:fill="auto"/>
                  <w:noWrap w:val="0"/>
                  <w:vAlign w:val="center"/>
                </w:tcPr>
                <w:p>
                  <w:pPr>
                    <w:snapToGrid w:val="0"/>
                    <w:jc w:val="center"/>
                    <w:rPr>
                      <w:rFonts w:hint="eastAsia"/>
                      <w:color w:val="auto"/>
                      <w:szCs w:val="21"/>
                    </w:rPr>
                  </w:pPr>
                </w:p>
              </w:tc>
              <w:tc>
                <w:tcPr>
                  <w:tcW w:w="1891" w:type="dxa"/>
                  <w:shd w:val="clear" w:color="auto" w:fill="auto"/>
                  <w:noWrap w:val="0"/>
                  <w:vAlign w:val="center"/>
                </w:tcPr>
                <w:p>
                  <w:pPr>
                    <w:spacing w:line="300" w:lineRule="exact"/>
                    <w:jc w:val="center"/>
                    <w:rPr>
                      <w:rFonts w:hint="eastAsia"/>
                      <w:color w:val="auto"/>
                      <w:szCs w:val="21"/>
                    </w:rPr>
                  </w:pPr>
                  <w:r>
                    <w:rPr>
                      <w:rFonts w:hint="eastAsia"/>
                      <w:color w:val="auto"/>
                      <w:szCs w:val="21"/>
                    </w:rPr>
                    <w:t>pH</w:t>
                  </w:r>
                </w:p>
              </w:tc>
              <w:tc>
                <w:tcPr>
                  <w:tcW w:w="1211" w:type="dxa"/>
                  <w:vMerge w:val="continue"/>
                  <w:shd w:val="clear" w:color="auto" w:fill="auto"/>
                  <w:noWrap w:val="0"/>
                  <w:vAlign w:val="center"/>
                </w:tcPr>
                <w:p>
                  <w:pPr>
                    <w:snapToGrid w:val="0"/>
                    <w:jc w:val="center"/>
                    <w:rPr>
                      <w:color w:val="auto"/>
                      <w:szCs w:val="21"/>
                    </w:rPr>
                  </w:pPr>
                </w:p>
              </w:tc>
              <w:tc>
                <w:tcPr>
                  <w:tcW w:w="1264" w:type="dxa"/>
                  <w:shd w:val="clear" w:color="auto" w:fill="auto"/>
                  <w:noWrap w:val="0"/>
                  <w:vAlign w:val="center"/>
                </w:tcPr>
                <w:p>
                  <w:pPr>
                    <w:spacing w:line="300" w:lineRule="exact"/>
                    <w:jc w:val="center"/>
                    <w:rPr>
                      <w:rFonts w:hint="default" w:eastAsia="宋体"/>
                      <w:color w:val="auto"/>
                      <w:szCs w:val="21"/>
                      <w:lang w:val="en-US" w:eastAsia="zh-CN"/>
                    </w:rPr>
                  </w:pPr>
                  <w:r>
                    <w:rPr>
                      <w:rFonts w:hint="eastAsia"/>
                      <w:color w:val="auto"/>
                      <w:szCs w:val="21"/>
                      <w:lang w:val="en-US" w:eastAsia="zh-CN"/>
                    </w:rPr>
                    <w:t>1次/12小时</w:t>
                  </w:r>
                </w:p>
              </w:tc>
              <w:tc>
                <w:tcPr>
                  <w:tcW w:w="2763" w:type="dxa"/>
                  <w:vMerge w:val="continue"/>
                  <w:shd w:val="clear" w:color="auto" w:fill="auto"/>
                  <w:noWrap w:val="0"/>
                  <w:vAlign w:val="center"/>
                </w:tcPr>
                <w:p>
                  <w:pPr>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27" w:type="dxa"/>
                  <w:vMerge w:val="continue"/>
                  <w:shd w:val="clear" w:color="auto" w:fill="auto"/>
                  <w:noWrap w:val="0"/>
                  <w:vAlign w:val="center"/>
                </w:tcPr>
                <w:p>
                  <w:pPr>
                    <w:snapToGrid w:val="0"/>
                    <w:jc w:val="center"/>
                    <w:rPr>
                      <w:color w:val="auto"/>
                      <w:szCs w:val="21"/>
                    </w:rPr>
                  </w:pPr>
                </w:p>
              </w:tc>
              <w:tc>
                <w:tcPr>
                  <w:tcW w:w="730" w:type="dxa"/>
                  <w:vMerge w:val="continue"/>
                  <w:shd w:val="clear" w:color="auto" w:fill="auto"/>
                  <w:noWrap w:val="0"/>
                  <w:vAlign w:val="center"/>
                </w:tcPr>
                <w:p>
                  <w:pPr>
                    <w:snapToGrid w:val="0"/>
                    <w:jc w:val="center"/>
                    <w:rPr>
                      <w:rFonts w:hint="eastAsia"/>
                      <w:color w:val="auto"/>
                      <w:szCs w:val="21"/>
                    </w:rPr>
                  </w:pPr>
                </w:p>
              </w:tc>
              <w:tc>
                <w:tcPr>
                  <w:tcW w:w="1891" w:type="dxa"/>
                  <w:shd w:val="clear" w:color="auto" w:fill="auto"/>
                  <w:noWrap w:val="0"/>
                  <w:vAlign w:val="center"/>
                </w:tcPr>
                <w:p>
                  <w:pPr>
                    <w:spacing w:line="300" w:lineRule="exact"/>
                    <w:jc w:val="center"/>
                    <w:rPr>
                      <w:rFonts w:hint="eastAsia"/>
                      <w:color w:val="auto"/>
                      <w:szCs w:val="21"/>
                    </w:rPr>
                  </w:pPr>
                  <w:r>
                    <w:rPr>
                      <w:color w:val="auto"/>
                      <w:szCs w:val="21"/>
                    </w:rPr>
                    <w:t>COD、SS</w:t>
                  </w:r>
                </w:p>
              </w:tc>
              <w:tc>
                <w:tcPr>
                  <w:tcW w:w="1211" w:type="dxa"/>
                  <w:vMerge w:val="continue"/>
                  <w:shd w:val="clear" w:color="auto" w:fill="auto"/>
                  <w:noWrap w:val="0"/>
                  <w:vAlign w:val="center"/>
                </w:tcPr>
                <w:p>
                  <w:pPr>
                    <w:snapToGrid w:val="0"/>
                    <w:jc w:val="center"/>
                    <w:rPr>
                      <w:color w:val="auto"/>
                      <w:szCs w:val="21"/>
                    </w:rPr>
                  </w:pPr>
                </w:p>
              </w:tc>
              <w:tc>
                <w:tcPr>
                  <w:tcW w:w="1264" w:type="dxa"/>
                  <w:shd w:val="clear" w:color="auto" w:fill="auto"/>
                  <w:noWrap w:val="0"/>
                  <w:vAlign w:val="center"/>
                </w:tcPr>
                <w:p>
                  <w:pPr>
                    <w:spacing w:line="300" w:lineRule="exact"/>
                    <w:jc w:val="center"/>
                    <w:rPr>
                      <w:rFonts w:hint="default" w:eastAsia="宋体"/>
                      <w:color w:val="auto"/>
                      <w:szCs w:val="21"/>
                      <w:lang w:val="en-US" w:eastAsia="zh-CN"/>
                    </w:rPr>
                  </w:pPr>
                  <w:r>
                    <w:rPr>
                      <w:rFonts w:hint="eastAsia"/>
                      <w:color w:val="auto"/>
                      <w:szCs w:val="21"/>
                      <w:lang w:val="en-US" w:eastAsia="zh-CN"/>
                    </w:rPr>
                    <w:t>1次/周</w:t>
                  </w:r>
                </w:p>
              </w:tc>
              <w:tc>
                <w:tcPr>
                  <w:tcW w:w="2763" w:type="dxa"/>
                  <w:vMerge w:val="continue"/>
                  <w:shd w:val="clear" w:color="auto" w:fill="auto"/>
                  <w:noWrap w:val="0"/>
                  <w:vAlign w:val="center"/>
                </w:tcPr>
                <w:p>
                  <w:pPr>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27" w:type="dxa"/>
                  <w:vMerge w:val="continue"/>
                  <w:shd w:val="clear" w:color="auto" w:fill="auto"/>
                  <w:noWrap w:val="0"/>
                  <w:vAlign w:val="center"/>
                </w:tcPr>
                <w:p>
                  <w:pPr>
                    <w:snapToGrid w:val="0"/>
                    <w:jc w:val="center"/>
                    <w:rPr>
                      <w:color w:val="auto"/>
                      <w:szCs w:val="21"/>
                    </w:rPr>
                  </w:pPr>
                </w:p>
              </w:tc>
              <w:tc>
                <w:tcPr>
                  <w:tcW w:w="730" w:type="dxa"/>
                  <w:vMerge w:val="continue"/>
                  <w:shd w:val="clear" w:color="auto" w:fill="auto"/>
                  <w:noWrap w:val="0"/>
                  <w:vAlign w:val="center"/>
                </w:tcPr>
                <w:p>
                  <w:pPr>
                    <w:snapToGrid w:val="0"/>
                    <w:jc w:val="center"/>
                    <w:rPr>
                      <w:rFonts w:hint="eastAsia"/>
                      <w:color w:val="auto"/>
                      <w:szCs w:val="21"/>
                    </w:rPr>
                  </w:pPr>
                </w:p>
              </w:tc>
              <w:tc>
                <w:tcPr>
                  <w:tcW w:w="1891" w:type="dxa"/>
                  <w:shd w:val="clear" w:color="auto" w:fill="auto"/>
                  <w:noWrap w:val="0"/>
                  <w:vAlign w:val="center"/>
                </w:tcPr>
                <w:p>
                  <w:pPr>
                    <w:spacing w:line="300" w:lineRule="exact"/>
                    <w:jc w:val="center"/>
                    <w:rPr>
                      <w:rFonts w:hint="eastAsia" w:eastAsia="宋体"/>
                      <w:color w:val="auto"/>
                      <w:szCs w:val="21"/>
                      <w:lang w:val="en-US" w:eastAsia="zh-CN"/>
                    </w:rPr>
                  </w:pPr>
                  <w:r>
                    <w:rPr>
                      <w:color w:val="auto"/>
                      <w:szCs w:val="21"/>
                    </w:rPr>
                    <w:t>粪大肠菌群</w:t>
                  </w:r>
                  <w:r>
                    <w:rPr>
                      <w:rFonts w:hint="eastAsia"/>
                      <w:color w:val="auto"/>
                      <w:szCs w:val="21"/>
                      <w:lang w:val="en-US" w:eastAsia="zh-CN"/>
                    </w:rPr>
                    <w:t>数</w:t>
                  </w:r>
                </w:p>
              </w:tc>
              <w:tc>
                <w:tcPr>
                  <w:tcW w:w="1211" w:type="dxa"/>
                  <w:vMerge w:val="continue"/>
                  <w:shd w:val="clear" w:color="auto" w:fill="auto"/>
                  <w:noWrap w:val="0"/>
                  <w:vAlign w:val="center"/>
                </w:tcPr>
                <w:p>
                  <w:pPr>
                    <w:snapToGrid w:val="0"/>
                    <w:jc w:val="center"/>
                    <w:rPr>
                      <w:color w:val="auto"/>
                      <w:szCs w:val="21"/>
                    </w:rPr>
                  </w:pPr>
                </w:p>
              </w:tc>
              <w:tc>
                <w:tcPr>
                  <w:tcW w:w="1264" w:type="dxa"/>
                  <w:shd w:val="clear" w:color="auto" w:fill="auto"/>
                  <w:noWrap w:val="0"/>
                  <w:vAlign w:val="center"/>
                </w:tcPr>
                <w:p>
                  <w:pPr>
                    <w:spacing w:line="300" w:lineRule="exact"/>
                    <w:jc w:val="center"/>
                    <w:rPr>
                      <w:rFonts w:hint="default"/>
                      <w:color w:val="auto"/>
                      <w:szCs w:val="21"/>
                      <w:lang w:val="en-US" w:eastAsia="zh-CN"/>
                    </w:rPr>
                  </w:pPr>
                  <w:r>
                    <w:rPr>
                      <w:rFonts w:hint="eastAsia"/>
                      <w:color w:val="auto"/>
                      <w:szCs w:val="21"/>
                      <w:lang w:val="en-US" w:eastAsia="zh-CN"/>
                    </w:rPr>
                    <w:t>1次/月</w:t>
                  </w:r>
                </w:p>
              </w:tc>
              <w:tc>
                <w:tcPr>
                  <w:tcW w:w="2763" w:type="dxa"/>
                  <w:vMerge w:val="continue"/>
                  <w:shd w:val="clear" w:color="auto" w:fill="auto"/>
                  <w:noWrap w:val="0"/>
                  <w:vAlign w:val="center"/>
                </w:tcPr>
                <w:p>
                  <w:pPr>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27" w:type="dxa"/>
                  <w:vMerge w:val="continue"/>
                  <w:shd w:val="clear" w:color="auto" w:fill="auto"/>
                  <w:noWrap w:val="0"/>
                  <w:vAlign w:val="center"/>
                </w:tcPr>
                <w:p>
                  <w:pPr>
                    <w:snapToGrid w:val="0"/>
                    <w:jc w:val="center"/>
                    <w:rPr>
                      <w:color w:val="auto"/>
                      <w:szCs w:val="21"/>
                    </w:rPr>
                  </w:pPr>
                </w:p>
              </w:tc>
              <w:tc>
                <w:tcPr>
                  <w:tcW w:w="730" w:type="dxa"/>
                  <w:vMerge w:val="continue"/>
                  <w:shd w:val="clear" w:color="auto" w:fill="auto"/>
                  <w:noWrap w:val="0"/>
                  <w:vAlign w:val="center"/>
                </w:tcPr>
                <w:p>
                  <w:pPr>
                    <w:snapToGrid w:val="0"/>
                    <w:jc w:val="center"/>
                    <w:rPr>
                      <w:rFonts w:hint="eastAsia"/>
                      <w:color w:val="auto"/>
                      <w:szCs w:val="21"/>
                    </w:rPr>
                  </w:pPr>
                </w:p>
              </w:tc>
              <w:tc>
                <w:tcPr>
                  <w:tcW w:w="1891" w:type="dxa"/>
                  <w:shd w:val="clear" w:color="auto" w:fill="auto"/>
                  <w:noWrap w:val="0"/>
                  <w:vAlign w:val="center"/>
                </w:tcPr>
                <w:p>
                  <w:pPr>
                    <w:spacing w:line="300" w:lineRule="exact"/>
                    <w:jc w:val="center"/>
                    <w:rPr>
                      <w:rFonts w:hint="default"/>
                      <w:color w:val="auto"/>
                      <w:szCs w:val="21"/>
                      <w:lang w:val="en-US"/>
                    </w:rPr>
                  </w:pPr>
                  <w:r>
                    <w:rPr>
                      <w:color w:val="auto"/>
                      <w:szCs w:val="21"/>
                    </w:rPr>
                    <w:t>BOD</w:t>
                  </w:r>
                  <w:r>
                    <w:rPr>
                      <w:color w:val="auto"/>
                      <w:szCs w:val="21"/>
                      <w:vertAlign w:val="subscript"/>
                    </w:rPr>
                    <w:t>5</w:t>
                  </w:r>
                  <w:r>
                    <w:rPr>
                      <w:color w:val="auto"/>
                      <w:szCs w:val="21"/>
                    </w:rPr>
                    <w:t>、</w:t>
                  </w:r>
                  <w:r>
                    <w:rPr>
                      <w:rFonts w:hint="eastAsia"/>
                      <w:color w:val="auto"/>
                      <w:szCs w:val="21"/>
                      <w:lang w:val="en-US" w:eastAsia="zh-CN"/>
                    </w:rPr>
                    <w:t>阴离子表面活性剂、氨氮、色度、总氰化物、石油类、挥发酚、动植物油、总余氯</w:t>
                  </w:r>
                </w:p>
              </w:tc>
              <w:tc>
                <w:tcPr>
                  <w:tcW w:w="1211" w:type="dxa"/>
                  <w:vMerge w:val="continue"/>
                  <w:shd w:val="clear" w:color="auto" w:fill="auto"/>
                  <w:noWrap w:val="0"/>
                  <w:vAlign w:val="center"/>
                </w:tcPr>
                <w:p>
                  <w:pPr>
                    <w:snapToGrid w:val="0"/>
                    <w:jc w:val="center"/>
                    <w:rPr>
                      <w:color w:val="auto"/>
                      <w:szCs w:val="21"/>
                    </w:rPr>
                  </w:pPr>
                </w:p>
              </w:tc>
              <w:tc>
                <w:tcPr>
                  <w:tcW w:w="1264" w:type="dxa"/>
                  <w:shd w:val="clear" w:color="auto" w:fill="auto"/>
                  <w:noWrap w:val="0"/>
                  <w:vAlign w:val="center"/>
                </w:tcPr>
                <w:p>
                  <w:pPr>
                    <w:spacing w:line="300" w:lineRule="exact"/>
                    <w:jc w:val="center"/>
                    <w:rPr>
                      <w:rFonts w:hint="default"/>
                      <w:color w:val="auto"/>
                      <w:szCs w:val="21"/>
                      <w:lang w:val="en-US" w:eastAsia="zh-CN"/>
                    </w:rPr>
                  </w:pPr>
                  <w:r>
                    <w:rPr>
                      <w:rFonts w:hint="eastAsia"/>
                      <w:color w:val="auto"/>
                      <w:szCs w:val="21"/>
                      <w:lang w:val="en-US" w:eastAsia="zh-CN"/>
                    </w:rPr>
                    <w:t>1次/季度</w:t>
                  </w:r>
                </w:p>
              </w:tc>
              <w:tc>
                <w:tcPr>
                  <w:tcW w:w="2763" w:type="dxa"/>
                  <w:vMerge w:val="continue"/>
                  <w:shd w:val="clear" w:color="auto" w:fill="auto"/>
                  <w:noWrap w:val="0"/>
                  <w:vAlign w:val="center"/>
                </w:tcPr>
                <w:p>
                  <w:pPr>
                    <w:snapToGrid w:val="0"/>
                    <w:jc w:val="center"/>
                    <w:rPr>
                      <w:color w:val="auto"/>
                      <w:szCs w:val="21"/>
                    </w:rPr>
                  </w:pPr>
                </w:p>
              </w:tc>
            </w:tr>
          </w:tbl>
          <w:p>
            <w:pPr>
              <w:spacing w:line="360" w:lineRule="auto"/>
              <w:ind w:firstLine="480" w:firstLineChars="200"/>
              <w:rPr>
                <w:rFonts w:hint="default" w:eastAsia="宋体"/>
                <w:color w:val="auto"/>
                <w:sz w:val="24"/>
                <w:szCs w:val="24"/>
                <w:lang w:val="en-US" w:eastAsia="zh-CN"/>
              </w:rPr>
            </w:pPr>
            <w:r>
              <w:rPr>
                <w:rFonts w:hint="eastAsia"/>
                <w:color w:val="auto"/>
                <w:sz w:val="24"/>
                <w:szCs w:val="24"/>
                <w:lang w:val="en-US" w:eastAsia="zh-CN"/>
              </w:rPr>
              <w:t>3、噪声</w:t>
            </w:r>
          </w:p>
          <w:p>
            <w:pPr>
              <w:spacing w:line="360" w:lineRule="auto"/>
              <w:ind w:firstLine="480" w:firstLineChars="200"/>
              <w:rPr>
                <w:color w:val="auto"/>
                <w:sz w:val="24"/>
                <w:szCs w:val="24"/>
              </w:rPr>
            </w:pPr>
            <w:r>
              <w:rPr>
                <w:color w:val="auto"/>
                <w:sz w:val="24"/>
                <w:szCs w:val="24"/>
              </w:rPr>
              <w:t>配套设备噪声主要为污水处理设施水泵、</w:t>
            </w:r>
            <w:r>
              <w:rPr>
                <w:rFonts w:hint="eastAsia"/>
                <w:color w:val="auto"/>
                <w:sz w:val="24"/>
                <w:szCs w:val="24"/>
                <w:lang w:val="en-US" w:eastAsia="zh-CN"/>
              </w:rPr>
              <w:t>食堂油烟废气处理设备风机等</w:t>
            </w:r>
            <w:r>
              <w:rPr>
                <w:color w:val="auto"/>
                <w:sz w:val="24"/>
                <w:szCs w:val="24"/>
              </w:rPr>
              <w:t>运行产生的噪声。本项目污水处理站水泵等采用低噪声设备，采取基础减振、隔声等措施。本项目主要噪声源源强见表</w:t>
            </w:r>
            <w:r>
              <w:rPr>
                <w:rFonts w:hint="eastAsia"/>
                <w:color w:val="auto"/>
                <w:sz w:val="24"/>
                <w:szCs w:val="24"/>
              </w:rPr>
              <w:t>4-7</w:t>
            </w:r>
            <w:r>
              <w:rPr>
                <w:color w:val="auto"/>
                <w:sz w:val="24"/>
                <w:szCs w:val="24"/>
              </w:rPr>
              <w:t>。</w:t>
            </w:r>
          </w:p>
          <w:p>
            <w:pPr>
              <w:pStyle w:val="76"/>
              <w:rPr>
                <w:color w:val="auto"/>
                <w:szCs w:val="21"/>
              </w:rPr>
            </w:pPr>
            <w:r>
              <w:rPr>
                <w:color w:val="auto"/>
                <w:szCs w:val="21"/>
              </w:rPr>
              <w:t>表</w:t>
            </w:r>
            <w:r>
              <w:rPr>
                <w:rFonts w:hint="eastAsia"/>
                <w:color w:val="auto"/>
                <w:szCs w:val="21"/>
              </w:rPr>
              <w:t>4-</w:t>
            </w:r>
            <w:r>
              <w:rPr>
                <w:rFonts w:hint="eastAsia"/>
                <w:color w:val="auto"/>
                <w:szCs w:val="21"/>
                <w:lang w:val="en-US" w:eastAsia="zh-CN"/>
              </w:rPr>
              <w:t>8</w:t>
            </w:r>
            <w:r>
              <w:rPr>
                <w:color w:val="auto"/>
                <w:szCs w:val="21"/>
              </w:rPr>
              <w:t xml:space="preserve">    主要噪声源及源强</w:t>
            </w:r>
          </w:p>
          <w:tbl>
            <w:tblPr>
              <w:tblStyle w:val="2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7"/>
              <w:gridCol w:w="1228"/>
              <w:gridCol w:w="2616"/>
              <w:gridCol w:w="698"/>
              <w:gridCol w:w="1454"/>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pct"/>
                  <w:noWrap w:val="0"/>
                  <w:vAlign w:val="center"/>
                </w:tcPr>
                <w:p>
                  <w:pPr>
                    <w:pStyle w:val="62"/>
                    <w:rPr>
                      <w:b/>
                      <w:bCs/>
                      <w:color w:val="auto"/>
                      <w:szCs w:val="21"/>
                    </w:rPr>
                  </w:pPr>
                  <w:r>
                    <w:rPr>
                      <w:b/>
                      <w:bCs/>
                      <w:color w:val="auto"/>
                      <w:szCs w:val="21"/>
                    </w:rPr>
                    <w:t>噪声源</w:t>
                  </w:r>
                </w:p>
              </w:tc>
              <w:tc>
                <w:tcPr>
                  <w:tcW w:w="723" w:type="pct"/>
                  <w:noWrap w:val="0"/>
                  <w:vAlign w:val="center"/>
                </w:tcPr>
                <w:p>
                  <w:pPr>
                    <w:pStyle w:val="62"/>
                    <w:rPr>
                      <w:b/>
                      <w:bCs/>
                      <w:color w:val="auto"/>
                      <w:szCs w:val="21"/>
                    </w:rPr>
                  </w:pPr>
                  <w:r>
                    <w:rPr>
                      <w:rFonts w:hint="eastAsia"/>
                      <w:b/>
                      <w:bCs/>
                      <w:color w:val="auto"/>
                      <w:szCs w:val="21"/>
                    </w:rPr>
                    <w:t>产生强度</w:t>
                  </w:r>
                  <w:r>
                    <w:rPr>
                      <w:b/>
                      <w:bCs/>
                      <w:color w:val="auto"/>
                      <w:szCs w:val="21"/>
                    </w:rPr>
                    <w:t>dB(A)</w:t>
                  </w:r>
                </w:p>
              </w:tc>
              <w:tc>
                <w:tcPr>
                  <w:tcW w:w="1540" w:type="pct"/>
                  <w:noWrap w:val="0"/>
                  <w:vAlign w:val="center"/>
                </w:tcPr>
                <w:p>
                  <w:pPr>
                    <w:pStyle w:val="62"/>
                    <w:rPr>
                      <w:b/>
                      <w:bCs/>
                      <w:color w:val="auto"/>
                      <w:szCs w:val="21"/>
                    </w:rPr>
                  </w:pPr>
                  <w:r>
                    <w:rPr>
                      <w:b/>
                      <w:bCs/>
                      <w:color w:val="auto"/>
                      <w:szCs w:val="21"/>
                    </w:rPr>
                    <w:t>采取措施</w:t>
                  </w:r>
                </w:p>
              </w:tc>
              <w:tc>
                <w:tcPr>
                  <w:tcW w:w="411" w:type="pct"/>
                  <w:noWrap w:val="0"/>
                  <w:vAlign w:val="center"/>
                </w:tcPr>
                <w:p>
                  <w:pPr>
                    <w:pStyle w:val="62"/>
                    <w:rPr>
                      <w:b/>
                      <w:bCs/>
                      <w:color w:val="auto"/>
                      <w:szCs w:val="21"/>
                    </w:rPr>
                  </w:pPr>
                  <w:r>
                    <w:rPr>
                      <w:b/>
                      <w:bCs/>
                      <w:color w:val="auto"/>
                      <w:szCs w:val="21"/>
                    </w:rPr>
                    <w:t>台数</w:t>
                  </w:r>
                </w:p>
              </w:tc>
              <w:tc>
                <w:tcPr>
                  <w:tcW w:w="856" w:type="pct"/>
                  <w:noWrap w:val="0"/>
                  <w:vAlign w:val="center"/>
                </w:tcPr>
                <w:p>
                  <w:pPr>
                    <w:pStyle w:val="62"/>
                    <w:rPr>
                      <w:b/>
                      <w:bCs/>
                      <w:color w:val="auto"/>
                      <w:szCs w:val="21"/>
                    </w:rPr>
                  </w:pPr>
                  <w:r>
                    <w:rPr>
                      <w:rFonts w:hint="eastAsia"/>
                      <w:b/>
                      <w:bCs/>
                      <w:color w:val="auto"/>
                      <w:szCs w:val="21"/>
                    </w:rPr>
                    <w:t>排放强度</w:t>
                  </w:r>
                  <w:r>
                    <w:rPr>
                      <w:b/>
                      <w:bCs/>
                      <w:color w:val="auto"/>
                      <w:szCs w:val="21"/>
                    </w:rPr>
                    <w:t>dB(A)</w:t>
                  </w:r>
                </w:p>
              </w:tc>
              <w:tc>
                <w:tcPr>
                  <w:tcW w:w="733" w:type="pct"/>
                  <w:noWrap w:val="0"/>
                  <w:vAlign w:val="center"/>
                </w:tcPr>
                <w:p>
                  <w:pPr>
                    <w:pStyle w:val="62"/>
                    <w:rPr>
                      <w:b/>
                      <w:bCs/>
                      <w:color w:val="auto"/>
                      <w:szCs w:val="21"/>
                    </w:rPr>
                  </w:pPr>
                  <w:r>
                    <w:rPr>
                      <w:b/>
                      <w:bCs/>
                      <w:color w:val="auto"/>
                      <w:szCs w:val="21"/>
                    </w:rPr>
                    <w:t>持续时间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pct"/>
                  <w:noWrap w:val="0"/>
                  <w:vAlign w:val="center"/>
                </w:tcPr>
                <w:p>
                  <w:pPr>
                    <w:pStyle w:val="62"/>
                    <w:rPr>
                      <w:color w:val="auto"/>
                      <w:szCs w:val="21"/>
                    </w:rPr>
                  </w:pPr>
                  <w:r>
                    <w:rPr>
                      <w:rFonts w:hint="eastAsia"/>
                      <w:color w:val="auto"/>
                      <w:szCs w:val="21"/>
                      <w:lang w:val="en-US" w:eastAsia="zh-CN"/>
                    </w:rPr>
                    <w:t>加药泵</w:t>
                  </w:r>
                </w:p>
              </w:tc>
              <w:tc>
                <w:tcPr>
                  <w:tcW w:w="723" w:type="pct"/>
                  <w:noWrap w:val="0"/>
                  <w:vAlign w:val="center"/>
                </w:tcPr>
                <w:p>
                  <w:pPr>
                    <w:pStyle w:val="62"/>
                    <w:rPr>
                      <w:rFonts w:hint="default" w:eastAsia="宋体"/>
                      <w:color w:val="auto"/>
                      <w:szCs w:val="21"/>
                      <w:lang w:val="en-US" w:eastAsia="zh-CN"/>
                    </w:rPr>
                  </w:pPr>
                  <w:r>
                    <w:rPr>
                      <w:rFonts w:hint="eastAsia"/>
                      <w:color w:val="auto"/>
                      <w:szCs w:val="21"/>
                      <w:lang w:val="en-US" w:eastAsia="zh-CN"/>
                    </w:rPr>
                    <w:t>70</w:t>
                  </w:r>
                </w:p>
              </w:tc>
              <w:tc>
                <w:tcPr>
                  <w:tcW w:w="1540" w:type="pct"/>
                  <w:noWrap w:val="0"/>
                  <w:vAlign w:val="center"/>
                </w:tcPr>
                <w:p>
                  <w:pPr>
                    <w:pStyle w:val="62"/>
                    <w:rPr>
                      <w:color w:val="auto"/>
                      <w:szCs w:val="21"/>
                    </w:rPr>
                  </w:pPr>
                  <w:r>
                    <w:rPr>
                      <w:color w:val="auto"/>
                      <w:szCs w:val="21"/>
                    </w:rPr>
                    <w:t>置于</w:t>
                  </w:r>
                  <w:r>
                    <w:rPr>
                      <w:rFonts w:hint="eastAsia"/>
                      <w:color w:val="auto"/>
                      <w:szCs w:val="21"/>
                    </w:rPr>
                    <w:t>污水处理间</w:t>
                  </w:r>
                  <w:r>
                    <w:rPr>
                      <w:color w:val="auto"/>
                      <w:szCs w:val="21"/>
                    </w:rPr>
                    <w:t>隔声，并选用低噪设备等措施</w:t>
                  </w:r>
                </w:p>
              </w:tc>
              <w:tc>
                <w:tcPr>
                  <w:tcW w:w="411" w:type="pct"/>
                  <w:noWrap w:val="0"/>
                  <w:vAlign w:val="center"/>
                </w:tcPr>
                <w:p>
                  <w:pPr>
                    <w:pStyle w:val="62"/>
                    <w:rPr>
                      <w:color w:val="auto"/>
                      <w:szCs w:val="21"/>
                    </w:rPr>
                  </w:pPr>
                  <w:r>
                    <w:rPr>
                      <w:color w:val="auto"/>
                      <w:szCs w:val="21"/>
                    </w:rPr>
                    <w:t>1</w:t>
                  </w:r>
                </w:p>
              </w:tc>
              <w:tc>
                <w:tcPr>
                  <w:tcW w:w="856" w:type="pct"/>
                  <w:noWrap w:val="0"/>
                  <w:vAlign w:val="center"/>
                </w:tcPr>
                <w:p>
                  <w:pPr>
                    <w:pStyle w:val="62"/>
                    <w:rPr>
                      <w:rFonts w:hint="default" w:eastAsia="宋体"/>
                      <w:color w:val="auto"/>
                      <w:szCs w:val="21"/>
                      <w:lang w:val="en-US" w:eastAsia="zh-CN"/>
                    </w:rPr>
                  </w:pPr>
                  <w:r>
                    <w:rPr>
                      <w:rFonts w:hint="eastAsia"/>
                      <w:color w:val="auto"/>
                      <w:szCs w:val="21"/>
                      <w:lang w:val="en-US" w:eastAsia="zh-CN"/>
                    </w:rPr>
                    <w:t>50</w:t>
                  </w:r>
                </w:p>
              </w:tc>
              <w:tc>
                <w:tcPr>
                  <w:tcW w:w="733" w:type="pct"/>
                  <w:noWrap w:val="0"/>
                  <w:vAlign w:val="center"/>
                </w:tcPr>
                <w:p>
                  <w:pPr>
                    <w:pStyle w:val="62"/>
                    <w:rPr>
                      <w:color w:val="auto"/>
                      <w:szCs w:val="21"/>
                    </w:rPr>
                  </w:pPr>
                  <w:r>
                    <w:rPr>
                      <w:color w:val="auto"/>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pct"/>
                  <w:noWrap w:val="0"/>
                  <w:vAlign w:val="center"/>
                </w:tcPr>
                <w:p>
                  <w:pPr>
                    <w:pStyle w:val="62"/>
                    <w:rPr>
                      <w:rFonts w:hint="default"/>
                      <w:color w:val="auto"/>
                      <w:szCs w:val="21"/>
                      <w:lang w:val="en-US" w:eastAsia="zh-CN"/>
                    </w:rPr>
                  </w:pPr>
                  <w:r>
                    <w:rPr>
                      <w:rFonts w:hint="eastAsia"/>
                      <w:color w:val="auto"/>
                      <w:szCs w:val="21"/>
                      <w:lang w:val="en-US" w:eastAsia="zh-CN"/>
                    </w:rPr>
                    <w:t>曝气泵</w:t>
                  </w:r>
                </w:p>
              </w:tc>
              <w:tc>
                <w:tcPr>
                  <w:tcW w:w="723" w:type="pct"/>
                  <w:noWrap w:val="0"/>
                  <w:vAlign w:val="center"/>
                </w:tcPr>
                <w:p>
                  <w:pPr>
                    <w:pStyle w:val="62"/>
                    <w:rPr>
                      <w:rFonts w:hint="default"/>
                      <w:color w:val="auto"/>
                      <w:szCs w:val="21"/>
                      <w:lang w:val="en-US" w:eastAsia="zh-CN"/>
                    </w:rPr>
                  </w:pPr>
                  <w:r>
                    <w:rPr>
                      <w:rFonts w:hint="eastAsia"/>
                      <w:color w:val="auto"/>
                      <w:szCs w:val="21"/>
                      <w:lang w:val="en-US" w:eastAsia="zh-CN"/>
                    </w:rPr>
                    <w:t>85</w:t>
                  </w:r>
                </w:p>
              </w:tc>
              <w:tc>
                <w:tcPr>
                  <w:tcW w:w="1540" w:type="pct"/>
                  <w:noWrap w:val="0"/>
                  <w:vAlign w:val="center"/>
                </w:tcPr>
                <w:p>
                  <w:pPr>
                    <w:pStyle w:val="62"/>
                    <w:rPr>
                      <w:color w:val="auto"/>
                      <w:szCs w:val="21"/>
                    </w:rPr>
                  </w:pPr>
                  <w:r>
                    <w:rPr>
                      <w:rFonts w:hint="eastAsia"/>
                      <w:color w:val="auto"/>
                      <w:szCs w:val="21"/>
                      <w:lang w:val="en-US" w:eastAsia="zh-CN"/>
                    </w:rPr>
                    <w:t>地下安置，选用低噪声设备</w:t>
                  </w:r>
                </w:p>
              </w:tc>
              <w:tc>
                <w:tcPr>
                  <w:tcW w:w="411" w:type="pct"/>
                  <w:noWrap w:val="0"/>
                  <w:vAlign w:val="center"/>
                </w:tcPr>
                <w:p>
                  <w:pPr>
                    <w:pStyle w:val="62"/>
                    <w:rPr>
                      <w:rFonts w:hint="eastAsia" w:eastAsia="宋体"/>
                      <w:color w:val="auto"/>
                      <w:szCs w:val="21"/>
                      <w:lang w:val="en-US" w:eastAsia="zh-CN"/>
                    </w:rPr>
                  </w:pPr>
                  <w:r>
                    <w:rPr>
                      <w:rFonts w:hint="eastAsia"/>
                      <w:color w:val="auto"/>
                      <w:szCs w:val="21"/>
                      <w:lang w:val="en-US" w:eastAsia="zh-CN"/>
                    </w:rPr>
                    <w:t>1</w:t>
                  </w:r>
                </w:p>
              </w:tc>
              <w:tc>
                <w:tcPr>
                  <w:tcW w:w="856" w:type="pct"/>
                  <w:noWrap w:val="0"/>
                  <w:vAlign w:val="center"/>
                </w:tcPr>
                <w:p>
                  <w:pPr>
                    <w:pStyle w:val="62"/>
                    <w:rPr>
                      <w:rFonts w:hint="default"/>
                      <w:color w:val="auto"/>
                      <w:szCs w:val="21"/>
                      <w:lang w:val="en-US" w:eastAsia="zh-CN"/>
                    </w:rPr>
                  </w:pPr>
                  <w:r>
                    <w:rPr>
                      <w:rFonts w:hint="eastAsia"/>
                      <w:color w:val="auto"/>
                      <w:szCs w:val="21"/>
                      <w:lang w:val="en-US" w:eastAsia="zh-CN"/>
                    </w:rPr>
                    <w:t>60</w:t>
                  </w:r>
                </w:p>
              </w:tc>
              <w:tc>
                <w:tcPr>
                  <w:tcW w:w="733" w:type="pct"/>
                  <w:noWrap w:val="0"/>
                  <w:vAlign w:val="center"/>
                </w:tcPr>
                <w:p>
                  <w:pPr>
                    <w:pStyle w:val="62"/>
                    <w:rPr>
                      <w:rFonts w:hint="eastAsia" w:eastAsia="宋体"/>
                      <w:color w:val="auto"/>
                      <w:szCs w:val="21"/>
                      <w:lang w:val="en-US" w:eastAsia="zh-CN"/>
                    </w:rPr>
                  </w:pPr>
                  <w:r>
                    <w:rPr>
                      <w:rFonts w:hint="eastAsia"/>
                      <w:color w:val="auto"/>
                      <w:szCs w:val="21"/>
                      <w:lang w:val="en-US" w:eastAsia="zh-CN"/>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pct"/>
                  <w:noWrap w:val="0"/>
                  <w:vAlign w:val="center"/>
                </w:tcPr>
                <w:p>
                  <w:pPr>
                    <w:pStyle w:val="62"/>
                    <w:rPr>
                      <w:rFonts w:hint="eastAsia" w:eastAsia="宋体"/>
                      <w:color w:val="auto"/>
                      <w:szCs w:val="21"/>
                      <w:lang w:val="en-US" w:eastAsia="zh-CN"/>
                    </w:rPr>
                  </w:pPr>
                  <w:r>
                    <w:rPr>
                      <w:rFonts w:hint="eastAsia"/>
                      <w:color w:val="auto"/>
                      <w:szCs w:val="21"/>
                      <w:lang w:val="en-US" w:eastAsia="zh-CN"/>
                    </w:rPr>
                    <w:t>提升泵</w:t>
                  </w:r>
                </w:p>
              </w:tc>
              <w:tc>
                <w:tcPr>
                  <w:tcW w:w="723" w:type="pct"/>
                  <w:noWrap w:val="0"/>
                  <w:vAlign w:val="center"/>
                </w:tcPr>
                <w:p>
                  <w:pPr>
                    <w:pStyle w:val="62"/>
                    <w:rPr>
                      <w:rFonts w:hint="default"/>
                      <w:color w:val="auto"/>
                      <w:szCs w:val="21"/>
                      <w:lang w:val="en-US" w:eastAsia="zh-CN"/>
                    </w:rPr>
                  </w:pPr>
                  <w:r>
                    <w:rPr>
                      <w:rFonts w:hint="eastAsia"/>
                      <w:color w:val="auto"/>
                      <w:szCs w:val="21"/>
                      <w:lang w:val="en-US" w:eastAsia="zh-CN"/>
                    </w:rPr>
                    <w:t>80</w:t>
                  </w:r>
                </w:p>
              </w:tc>
              <w:tc>
                <w:tcPr>
                  <w:tcW w:w="1540" w:type="pct"/>
                  <w:noWrap w:val="0"/>
                  <w:vAlign w:val="center"/>
                </w:tcPr>
                <w:p>
                  <w:pPr>
                    <w:pStyle w:val="62"/>
                    <w:rPr>
                      <w:rFonts w:hint="default" w:eastAsia="宋体"/>
                      <w:color w:val="auto"/>
                      <w:szCs w:val="21"/>
                      <w:lang w:val="en-US" w:eastAsia="zh-CN"/>
                    </w:rPr>
                  </w:pPr>
                  <w:r>
                    <w:rPr>
                      <w:rFonts w:hint="eastAsia"/>
                      <w:color w:val="auto"/>
                      <w:szCs w:val="21"/>
                      <w:lang w:val="en-US" w:eastAsia="zh-CN"/>
                    </w:rPr>
                    <w:t>地下安置，选用低噪声设备</w:t>
                  </w:r>
                </w:p>
              </w:tc>
              <w:tc>
                <w:tcPr>
                  <w:tcW w:w="411" w:type="pct"/>
                  <w:noWrap w:val="0"/>
                  <w:vAlign w:val="center"/>
                </w:tcPr>
                <w:p>
                  <w:pPr>
                    <w:pStyle w:val="62"/>
                    <w:rPr>
                      <w:rFonts w:hint="eastAsia" w:eastAsia="宋体"/>
                      <w:color w:val="auto"/>
                      <w:szCs w:val="21"/>
                      <w:lang w:val="en-US" w:eastAsia="zh-CN"/>
                    </w:rPr>
                  </w:pPr>
                  <w:r>
                    <w:rPr>
                      <w:rFonts w:hint="eastAsia"/>
                      <w:color w:val="auto"/>
                      <w:szCs w:val="21"/>
                      <w:lang w:val="en-US" w:eastAsia="zh-CN"/>
                    </w:rPr>
                    <w:t>1</w:t>
                  </w:r>
                </w:p>
              </w:tc>
              <w:tc>
                <w:tcPr>
                  <w:tcW w:w="856" w:type="pct"/>
                  <w:noWrap w:val="0"/>
                  <w:vAlign w:val="center"/>
                </w:tcPr>
                <w:p>
                  <w:pPr>
                    <w:pStyle w:val="62"/>
                    <w:rPr>
                      <w:rFonts w:hint="default" w:eastAsia="宋体"/>
                      <w:color w:val="auto"/>
                      <w:szCs w:val="21"/>
                      <w:lang w:val="en-US" w:eastAsia="zh-CN"/>
                    </w:rPr>
                  </w:pPr>
                  <w:r>
                    <w:rPr>
                      <w:rFonts w:hint="eastAsia"/>
                      <w:color w:val="auto"/>
                      <w:szCs w:val="21"/>
                      <w:lang w:val="en-US" w:eastAsia="zh-CN"/>
                    </w:rPr>
                    <w:t>55</w:t>
                  </w:r>
                </w:p>
              </w:tc>
              <w:tc>
                <w:tcPr>
                  <w:tcW w:w="733" w:type="pct"/>
                  <w:noWrap w:val="0"/>
                  <w:vAlign w:val="center"/>
                </w:tcPr>
                <w:p>
                  <w:pPr>
                    <w:pStyle w:val="62"/>
                    <w:rPr>
                      <w:rFonts w:hint="eastAsia" w:eastAsia="宋体"/>
                      <w:color w:val="auto"/>
                      <w:szCs w:val="21"/>
                      <w:lang w:val="en-US" w:eastAsia="zh-CN"/>
                    </w:rPr>
                  </w:pPr>
                  <w:r>
                    <w:rPr>
                      <w:rFonts w:hint="eastAsia"/>
                      <w:color w:val="auto"/>
                      <w:szCs w:val="21"/>
                      <w:lang w:val="en-US" w:eastAsia="zh-CN"/>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 w:type="pct"/>
                  <w:noWrap w:val="0"/>
                  <w:vAlign w:val="center"/>
                </w:tcPr>
                <w:p>
                  <w:pPr>
                    <w:pStyle w:val="62"/>
                    <w:rPr>
                      <w:rFonts w:hint="default" w:eastAsia="宋体"/>
                      <w:color w:val="auto"/>
                      <w:szCs w:val="21"/>
                      <w:lang w:val="en-US" w:eastAsia="zh-CN"/>
                    </w:rPr>
                  </w:pPr>
                  <w:r>
                    <w:rPr>
                      <w:rFonts w:hint="eastAsia"/>
                      <w:color w:val="auto"/>
                      <w:szCs w:val="21"/>
                      <w:lang w:val="en-US" w:eastAsia="zh-CN"/>
                    </w:rPr>
                    <w:t>油烟净化器风机</w:t>
                  </w:r>
                </w:p>
              </w:tc>
              <w:tc>
                <w:tcPr>
                  <w:tcW w:w="723" w:type="pct"/>
                  <w:noWrap w:val="0"/>
                  <w:vAlign w:val="center"/>
                </w:tcPr>
                <w:p>
                  <w:pPr>
                    <w:pStyle w:val="62"/>
                    <w:rPr>
                      <w:rFonts w:hint="default" w:eastAsia="宋体"/>
                      <w:color w:val="auto"/>
                      <w:szCs w:val="21"/>
                      <w:lang w:val="en-US" w:eastAsia="zh-CN"/>
                    </w:rPr>
                  </w:pPr>
                  <w:r>
                    <w:rPr>
                      <w:rFonts w:hint="eastAsia"/>
                      <w:color w:val="auto"/>
                      <w:szCs w:val="21"/>
                      <w:lang w:val="en-US" w:eastAsia="zh-CN"/>
                    </w:rPr>
                    <w:t>80</w:t>
                  </w:r>
                </w:p>
              </w:tc>
              <w:tc>
                <w:tcPr>
                  <w:tcW w:w="1540" w:type="pct"/>
                  <w:noWrap w:val="0"/>
                  <w:vAlign w:val="center"/>
                </w:tcPr>
                <w:p>
                  <w:pPr>
                    <w:pStyle w:val="62"/>
                    <w:rPr>
                      <w:rFonts w:hint="default" w:eastAsia="宋体"/>
                      <w:color w:val="auto"/>
                      <w:szCs w:val="21"/>
                      <w:lang w:val="en-US" w:eastAsia="zh-CN"/>
                    </w:rPr>
                  </w:pPr>
                  <w:r>
                    <w:rPr>
                      <w:rFonts w:hint="eastAsia"/>
                      <w:color w:val="auto"/>
                      <w:szCs w:val="21"/>
                      <w:lang w:val="en-US" w:eastAsia="zh-CN"/>
                    </w:rPr>
                    <w:t>墙体隔声，选用低噪声设备</w:t>
                  </w:r>
                </w:p>
              </w:tc>
              <w:tc>
                <w:tcPr>
                  <w:tcW w:w="411" w:type="pct"/>
                  <w:noWrap w:val="0"/>
                  <w:vAlign w:val="center"/>
                </w:tcPr>
                <w:p>
                  <w:pPr>
                    <w:pStyle w:val="62"/>
                    <w:rPr>
                      <w:rFonts w:hint="eastAsia" w:eastAsia="宋体"/>
                      <w:color w:val="auto"/>
                      <w:szCs w:val="21"/>
                      <w:lang w:val="en-US" w:eastAsia="zh-CN"/>
                    </w:rPr>
                  </w:pPr>
                  <w:r>
                    <w:rPr>
                      <w:rFonts w:hint="eastAsia"/>
                      <w:color w:val="auto"/>
                      <w:szCs w:val="21"/>
                      <w:lang w:val="en-US" w:eastAsia="zh-CN"/>
                    </w:rPr>
                    <w:t>1</w:t>
                  </w:r>
                </w:p>
              </w:tc>
              <w:tc>
                <w:tcPr>
                  <w:tcW w:w="856" w:type="pct"/>
                  <w:noWrap w:val="0"/>
                  <w:vAlign w:val="center"/>
                </w:tcPr>
                <w:p>
                  <w:pPr>
                    <w:pStyle w:val="62"/>
                    <w:rPr>
                      <w:rFonts w:hint="default" w:eastAsia="宋体"/>
                      <w:color w:val="auto"/>
                      <w:szCs w:val="21"/>
                      <w:lang w:val="en-US" w:eastAsia="zh-CN"/>
                    </w:rPr>
                  </w:pPr>
                  <w:r>
                    <w:rPr>
                      <w:rFonts w:hint="eastAsia"/>
                      <w:color w:val="auto"/>
                      <w:szCs w:val="21"/>
                      <w:lang w:val="en-US" w:eastAsia="zh-CN"/>
                    </w:rPr>
                    <w:t>60</w:t>
                  </w:r>
                </w:p>
              </w:tc>
              <w:tc>
                <w:tcPr>
                  <w:tcW w:w="733" w:type="pct"/>
                  <w:noWrap w:val="0"/>
                  <w:vAlign w:val="center"/>
                </w:tcPr>
                <w:p>
                  <w:pPr>
                    <w:pStyle w:val="62"/>
                    <w:rPr>
                      <w:rFonts w:hint="default" w:eastAsia="宋体"/>
                      <w:color w:val="auto"/>
                      <w:szCs w:val="21"/>
                      <w:lang w:val="en-US" w:eastAsia="zh-CN"/>
                    </w:rPr>
                  </w:pPr>
                  <w:r>
                    <w:rPr>
                      <w:rFonts w:hint="eastAsia"/>
                      <w:color w:val="auto"/>
                      <w:szCs w:val="21"/>
                      <w:lang w:val="en-US" w:eastAsia="zh-CN"/>
                    </w:rPr>
                    <w:t>频发</w:t>
                  </w:r>
                </w:p>
              </w:tc>
            </w:tr>
          </w:tbl>
          <w:p>
            <w:pPr>
              <w:spacing w:line="360" w:lineRule="auto"/>
              <w:ind w:firstLine="480" w:firstLineChars="200"/>
              <w:rPr>
                <w:bCs/>
                <w:snapToGrid w:val="0"/>
                <w:color w:val="auto"/>
                <w:kern w:val="0"/>
                <w:sz w:val="24"/>
                <w:szCs w:val="24"/>
              </w:rPr>
            </w:pPr>
            <w:r>
              <w:rPr>
                <w:rFonts w:hint="eastAsia"/>
                <w:bCs/>
                <w:snapToGrid w:val="0"/>
                <w:color w:val="auto"/>
                <w:kern w:val="0"/>
                <w:sz w:val="24"/>
                <w:szCs w:val="24"/>
                <w:lang w:val="en-GB"/>
              </w:rPr>
              <w:t>（</w:t>
            </w:r>
            <w:r>
              <w:rPr>
                <w:rFonts w:hint="eastAsia"/>
                <w:bCs/>
                <w:snapToGrid w:val="0"/>
                <w:color w:val="auto"/>
                <w:kern w:val="0"/>
                <w:sz w:val="24"/>
                <w:szCs w:val="24"/>
              </w:rPr>
              <w:t>2）厂界和环境保护目标达标情况</w:t>
            </w:r>
          </w:p>
          <w:p>
            <w:pPr>
              <w:spacing w:line="360" w:lineRule="auto"/>
              <w:ind w:firstLine="480" w:firstLineChars="200"/>
              <w:rPr>
                <w:rFonts w:hint="eastAsia"/>
                <w:color w:val="auto"/>
                <w:sz w:val="24"/>
                <w:szCs w:val="24"/>
              </w:rPr>
            </w:pPr>
            <w:r>
              <w:rPr>
                <w:rFonts w:hint="eastAsia"/>
                <w:color w:val="auto"/>
                <w:sz w:val="24"/>
                <w:szCs w:val="24"/>
              </w:rPr>
              <w:t>噪声源强：本项目在运行过程中产生噪声的设备主要包括</w:t>
            </w:r>
            <w:r>
              <w:rPr>
                <w:rFonts w:hint="eastAsia"/>
                <w:color w:val="auto"/>
                <w:sz w:val="24"/>
                <w:szCs w:val="24"/>
                <w:lang w:val="en-US" w:eastAsia="zh-CN"/>
              </w:rPr>
              <w:t>1</w:t>
            </w:r>
            <w:r>
              <w:rPr>
                <w:rFonts w:hint="eastAsia"/>
                <w:color w:val="auto"/>
                <w:sz w:val="24"/>
                <w:szCs w:val="24"/>
              </w:rPr>
              <w:t>台污水站</w:t>
            </w:r>
            <w:r>
              <w:rPr>
                <w:rFonts w:hint="eastAsia"/>
                <w:color w:val="auto"/>
                <w:sz w:val="24"/>
                <w:szCs w:val="24"/>
                <w:lang w:val="en-US" w:eastAsia="zh-CN"/>
              </w:rPr>
              <w:t>投药</w:t>
            </w:r>
            <w:r>
              <w:rPr>
                <w:rFonts w:hint="eastAsia"/>
                <w:color w:val="auto"/>
                <w:sz w:val="24"/>
                <w:szCs w:val="24"/>
              </w:rPr>
              <w:t>泵、</w:t>
            </w:r>
            <w:r>
              <w:rPr>
                <w:rFonts w:hint="eastAsia"/>
                <w:color w:val="auto"/>
                <w:sz w:val="24"/>
                <w:szCs w:val="24"/>
                <w:lang w:val="en-US" w:eastAsia="zh-CN"/>
              </w:rPr>
              <w:t>1台提升泵、1台曝气泵、1台油烟净化器风机</w:t>
            </w:r>
            <w:r>
              <w:rPr>
                <w:rFonts w:hint="eastAsia"/>
                <w:color w:val="auto"/>
                <w:sz w:val="24"/>
                <w:szCs w:val="24"/>
              </w:rPr>
              <w:t>噪声。</w:t>
            </w:r>
          </w:p>
          <w:p>
            <w:pPr>
              <w:spacing w:line="360" w:lineRule="auto"/>
              <w:ind w:firstLine="480" w:firstLineChars="200"/>
              <w:rPr>
                <w:color w:val="auto"/>
                <w:kern w:val="0"/>
                <w:sz w:val="24"/>
                <w:szCs w:val="24"/>
              </w:rPr>
            </w:pPr>
            <w:r>
              <w:rPr>
                <w:rFonts w:hint="eastAsia"/>
                <w:color w:val="auto"/>
                <w:kern w:val="0"/>
                <w:sz w:val="24"/>
                <w:szCs w:val="24"/>
              </w:rPr>
              <w:t>预测模式选择：按照《环境影响评价技术导则·声环境》（</w:t>
            </w:r>
            <w:r>
              <w:rPr>
                <w:color w:val="auto"/>
                <w:kern w:val="0"/>
                <w:sz w:val="24"/>
                <w:szCs w:val="24"/>
              </w:rPr>
              <w:t>HJ2.4</w:t>
            </w:r>
            <w:r>
              <w:rPr>
                <w:rFonts w:hint="eastAsia"/>
                <w:color w:val="auto"/>
                <w:kern w:val="0"/>
                <w:sz w:val="24"/>
                <w:szCs w:val="24"/>
              </w:rPr>
              <w:t>-</w:t>
            </w:r>
            <w:r>
              <w:rPr>
                <w:color w:val="auto"/>
                <w:kern w:val="0"/>
                <w:sz w:val="24"/>
                <w:szCs w:val="24"/>
              </w:rPr>
              <w:t>20</w:t>
            </w:r>
            <w:r>
              <w:rPr>
                <w:rFonts w:hint="eastAsia"/>
                <w:color w:val="auto"/>
                <w:kern w:val="0"/>
                <w:sz w:val="24"/>
                <w:szCs w:val="24"/>
                <w:lang w:val="en-US" w:eastAsia="zh-CN"/>
              </w:rPr>
              <w:t>21</w:t>
            </w:r>
            <w:r>
              <w:rPr>
                <w:rFonts w:hint="eastAsia"/>
                <w:color w:val="auto"/>
                <w:kern w:val="0"/>
                <w:sz w:val="24"/>
                <w:szCs w:val="24"/>
              </w:rPr>
              <w:t>）中推荐模式进行预测。</w:t>
            </w:r>
          </w:p>
          <w:p>
            <w:pPr>
              <w:spacing w:line="360" w:lineRule="auto"/>
              <w:ind w:firstLine="480" w:firstLineChars="200"/>
              <w:rPr>
                <w:color w:val="auto"/>
                <w:kern w:val="0"/>
                <w:sz w:val="24"/>
                <w:szCs w:val="24"/>
              </w:rPr>
            </w:pPr>
            <w:r>
              <w:rPr>
                <w:rFonts w:hint="eastAsia"/>
                <w:color w:val="auto"/>
                <w:kern w:val="0"/>
                <w:sz w:val="24"/>
                <w:szCs w:val="24"/>
              </w:rPr>
              <w:t>预测点位置：预测点位为现状监测点。</w:t>
            </w:r>
          </w:p>
          <w:p>
            <w:pPr>
              <w:spacing w:line="360" w:lineRule="auto"/>
              <w:ind w:firstLine="480" w:firstLineChars="200"/>
              <w:rPr>
                <w:rFonts w:hint="eastAsia"/>
                <w:color w:val="auto"/>
                <w:kern w:val="0"/>
                <w:sz w:val="24"/>
                <w:szCs w:val="24"/>
              </w:rPr>
            </w:pPr>
            <w:r>
              <w:rPr>
                <w:rFonts w:hint="eastAsia"/>
                <w:color w:val="auto"/>
                <w:kern w:val="0"/>
                <w:sz w:val="24"/>
                <w:szCs w:val="24"/>
              </w:rPr>
              <w:t>预测模式：</w:t>
            </w:r>
          </w:p>
          <w:p>
            <w:pPr>
              <w:pStyle w:val="77"/>
              <w:ind w:firstLine="480" w:firstLineChars="200"/>
              <w:rPr>
                <w:color w:val="auto"/>
                <w:sz w:val="24"/>
                <w:szCs w:val="24"/>
              </w:rPr>
            </w:pPr>
            <w:r>
              <w:rPr>
                <w:color w:val="auto"/>
                <w:sz w:val="24"/>
                <w:szCs w:val="24"/>
              </w:rPr>
              <w:t>①室外点源</w:t>
            </w:r>
          </w:p>
          <w:p>
            <w:pPr>
              <w:pStyle w:val="77"/>
              <w:ind w:firstLine="480" w:firstLineChars="200"/>
              <w:rPr>
                <w:color w:val="auto"/>
                <w:sz w:val="24"/>
                <w:szCs w:val="24"/>
              </w:rPr>
            </w:pPr>
            <w:r>
              <w:rPr>
                <w:color w:val="auto"/>
                <w:sz w:val="24"/>
                <w:szCs w:val="24"/>
              </w:rPr>
              <w:t>采用的衰减公式为：</w:t>
            </w:r>
          </w:p>
          <w:p>
            <w:pPr>
              <w:spacing w:line="360" w:lineRule="auto"/>
              <w:ind w:firstLine="480" w:firstLineChars="200"/>
              <w:jc w:val="center"/>
              <w:rPr>
                <w:color w:val="auto"/>
                <w:sz w:val="24"/>
                <w:szCs w:val="24"/>
              </w:rPr>
            </w:pPr>
            <w:r>
              <w:rPr>
                <w:color w:val="auto"/>
                <w:position w:val="-12"/>
                <w:sz w:val="24"/>
                <w:szCs w:val="24"/>
              </w:rPr>
              <w:object>
                <v:shape id="_x0000_i1026" o:spt="75" type="#_x0000_t75" style="height:18.6pt;width:130.15pt;" o:ole="t" filled="f" o:preferrelative="t" stroked="f" coordsize="21600,21600">
                  <v:path/>
                  <v:fill on="f" focussize="0,0"/>
                  <v:stroke on="f"/>
                  <v:imagedata r:id="rId14" o:title=""/>
                  <o:lock v:ext="edit" aspectratio="t"/>
                  <w10:wrap type="none"/>
                  <w10:anchorlock/>
                </v:shape>
                <o:OLEObject Type="Embed" ProgID="Equation.3" ShapeID="_x0000_i1026" DrawAspect="Content" ObjectID="_1468075726" r:id="rId13">
                  <o:LockedField>false</o:LockedField>
                </o:OLEObject>
              </w:object>
            </w:r>
          </w:p>
          <w:p>
            <w:pPr>
              <w:pStyle w:val="77"/>
              <w:ind w:firstLine="480" w:firstLineChars="200"/>
              <w:rPr>
                <w:color w:val="auto"/>
                <w:sz w:val="24"/>
                <w:szCs w:val="24"/>
              </w:rPr>
            </w:pPr>
            <w:r>
              <w:rPr>
                <w:color w:val="auto"/>
                <w:sz w:val="24"/>
                <w:szCs w:val="24"/>
              </w:rPr>
              <w:t>式中：</w:t>
            </w:r>
            <w:r>
              <w:rPr>
                <w:i/>
                <w:color w:val="auto"/>
                <w:sz w:val="24"/>
                <w:szCs w:val="24"/>
              </w:rPr>
              <w:t>L（r）</w:t>
            </w:r>
            <w:r>
              <w:rPr>
                <w:color w:val="auto"/>
                <w:sz w:val="24"/>
                <w:szCs w:val="24"/>
              </w:rPr>
              <w:t>——距离噪声源r处的声压级，dB（A）；</w:t>
            </w:r>
          </w:p>
          <w:p>
            <w:pPr>
              <w:pStyle w:val="77"/>
              <w:ind w:firstLine="480" w:firstLineChars="200"/>
              <w:rPr>
                <w:color w:val="auto"/>
                <w:sz w:val="24"/>
                <w:szCs w:val="24"/>
              </w:rPr>
            </w:pPr>
            <w:r>
              <w:rPr>
                <w:color w:val="auto"/>
                <w:sz w:val="24"/>
                <w:szCs w:val="24"/>
              </w:rPr>
              <w:t xml:space="preserve">      </w:t>
            </w:r>
            <w:r>
              <w:rPr>
                <w:i/>
                <w:color w:val="auto"/>
                <w:sz w:val="24"/>
                <w:szCs w:val="24"/>
              </w:rPr>
              <w:t>r</w:t>
            </w:r>
            <w:r>
              <w:rPr>
                <w:color w:val="auto"/>
                <w:sz w:val="24"/>
                <w:szCs w:val="24"/>
              </w:rPr>
              <w:t>——预测点距离噪声源的距离，m；</w:t>
            </w:r>
          </w:p>
          <w:p>
            <w:pPr>
              <w:pStyle w:val="77"/>
              <w:ind w:firstLine="473"/>
              <w:rPr>
                <w:b/>
                <w:color w:val="auto"/>
                <w:sz w:val="24"/>
                <w:szCs w:val="24"/>
              </w:rPr>
            </w:pPr>
            <w:r>
              <w:rPr>
                <w:color w:val="auto"/>
                <w:sz w:val="24"/>
                <w:szCs w:val="24"/>
              </w:rPr>
              <w:t xml:space="preserve">      </w:t>
            </w:r>
            <w:r>
              <w:rPr>
                <w:i/>
                <w:color w:val="auto"/>
                <w:sz w:val="24"/>
                <w:szCs w:val="24"/>
              </w:rPr>
              <w:t>r</w:t>
            </w:r>
            <w:r>
              <w:rPr>
                <w:i/>
                <w:color w:val="auto"/>
                <w:sz w:val="24"/>
                <w:szCs w:val="24"/>
                <w:vertAlign w:val="subscript"/>
              </w:rPr>
              <w:t>0</w:t>
            </w:r>
            <w:r>
              <w:rPr>
                <w:color w:val="auto"/>
                <w:sz w:val="24"/>
                <w:szCs w:val="24"/>
              </w:rPr>
              <w:t>——参考位置距噪声源的距离，m。</w:t>
            </w:r>
          </w:p>
          <w:p>
            <w:pPr>
              <w:pStyle w:val="77"/>
              <w:ind w:firstLine="473"/>
              <w:rPr>
                <w:color w:val="auto"/>
                <w:sz w:val="24"/>
                <w:szCs w:val="24"/>
              </w:rPr>
            </w:pPr>
            <w:r>
              <w:rPr>
                <w:color w:val="auto"/>
                <w:sz w:val="24"/>
                <w:szCs w:val="24"/>
              </w:rPr>
              <w:t>②室内声源</w:t>
            </w:r>
          </w:p>
          <w:p>
            <w:pPr>
              <w:pStyle w:val="77"/>
              <w:ind w:firstLine="473"/>
              <w:rPr>
                <w:color w:val="auto"/>
                <w:sz w:val="24"/>
                <w:szCs w:val="24"/>
              </w:rPr>
            </w:pPr>
            <w:r>
              <w:rPr>
                <w:color w:val="auto"/>
                <w:sz w:val="24"/>
                <w:szCs w:val="24"/>
              </w:rPr>
              <w:t>根据HJ2.4-20</w:t>
            </w:r>
            <w:r>
              <w:rPr>
                <w:rFonts w:hint="eastAsia"/>
                <w:color w:val="auto"/>
                <w:sz w:val="24"/>
                <w:szCs w:val="24"/>
                <w:lang w:val="en-US" w:eastAsia="zh-CN"/>
              </w:rPr>
              <w:t>21</w:t>
            </w:r>
            <w:r>
              <w:rPr>
                <w:color w:val="auto"/>
                <w:sz w:val="24"/>
                <w:szCs w:val="24"/>
              </w:rPr>
              <w:t>《环境影响评价技术导则声环境》推荐的室内声源的声传播模式，将室内声源等效为等效室外点声源，据此，室内声源传播衰减公式为：</w:t>
            </w:r>
          </w:p>
          <w:p>
            <w:pPr>
              <w:spacing w:line="360" w:lineRule="auto"/>
              <w:jc w:val="center"/>
              <w:rPr>
                <w:color w:val="auto"/>
                <w:sz w:val="24"/>
                <w:szCs w:val="24"/>
              </w:rPr>
            </w:pPr>
            <w:r>
              <w:rPr>
                <w:color w:val="auto"/>
                <w:position w:val="-30"/>
                <w:sz w:val="24"/>
                <w:szCs w:val="24"/>
              </w:rPr>
              <w:object>
                <v:shape id="_x0000_i1027" o:spt="75" type="#_x0000_t75" style="height:31.45pt;width:170.95pt;" o:ole="t" fillcolor="#FFFFFF" filled="t" o:preferrelative="t" stroked="f" coordsize="21600,21600">
                  <v:path/>
                  <v:fill on="t" focussize="0,0"/>
                  <v:stroke on="f"/>
                  <v:imagedata r:id="rId16" o:title=""/>
                  <o:lock v:ext="edit" grouping="f" rotation="f" text="f" aspectratio="t"/>
                  <w10:wrap type="none"/>
                  <w10:anchorlock/>
                </v:shape>
                <o:OLEObject Type="Embed" ProgID="Equation.DSMT4" ShapeID="_x0000_i1027" DrawAspect="Content" ObjectID="_1468075727" r:id="rId15">
                  <o:LockedField>false</o:LockedField>
                </o:OLEObject>
              </w:object>
            </w:r>
          </w:p>
          <w:p>
            <w:pPr>
              <w:pStyle w:val="77"/>
              <w:ind w:firstLine="473"/>
              <w:rPr>
                <w:color w:val="auto"/>
                <w:sz w:val="24"/>
                <w:szCs w:val="24"/>
              </w:rPr>
            </w:pPr>
            <w:r>
              <w:rPr>
                <w:color w:val="auto"/>
                <w:sz w:val="24"/>
                <w:szCs w:val="24"/>
              </w:rPr>
              <w:t xml:space="preserve">式中：L（r）——距离噪声源r </w:t>
            </w:r>
            <w:r>
              <w:rPr>
                <w:color w:val="auto"/>
                <w:sz w:val="24"/>
                <w:szCs w:val="24"/>
                <w:vertAlign w:val="subscript"/>
              </w:rPr>
              <w:t>m</w:t>
            </w:r>
            <w:r>
              <w:rPr>
                <w:color w:val="auto"/>
                <w:sz w:val="24"/>
                <w:szCs w:val="24"/>
              </w:rPr>
              <w:t>处的声压级，dB（A）；</w:t>
            </w:r>
          </w:p>
          <w:p>
            <w:pPr>
              <w:pStyle w:val="77"/>
              <w:ind w:firstLine="1200" w:firstLineChars="500"/>
              <w:rPr>
                <w:color w:val="auto"/>
                <w:sz w:val="24"/>
                <w:szCs w:val="24"/>
              </w:rPr>
            </w:pPr>
            <w:r>
              <w:rPr>
                <w:color w:val="auto"/>
                <w:sz w:val="24"/>
                <w:szCs w:val="24"/>
              </w:rPr>
              <w:t>L</w:t>
            </w:r>
            <w:r>
              <w:rPr>
                <w:color w:val="auto"/>
                <w:sz w:val="24"/>
                <w:szCs w:val="24"/>
                <w:vertAlign w:val="subscript"/>
              </w:rPr>
              <w:t>p0</w:t>
            </w:r>
            <w:r>
              <w:rPr>
                <w:color w:val="auto"/>
                <w:sz w:val="24"/>
                <w:szCs w:val="24"/>
              </w:rPr>
              <w:t>——为距声源中心 r</w:t>
            </w:r>
            <w:r>
              <w:rPr>
                <w:color w:val="auto"/>
                <w:sz w:val="24"/>
                <w:szCs w:val="24"/>
                <w:vertAlign w:val="subscript"/>
              </w:rPr>
              <w:t>0</w:t>
            </w:r>
            <w:r>
              <w:rPr>
                <w:color w:val="auto"/>
                <w:sz w:val="24"/>
                <w:szCs w:val="24"/>
              </w:rPr>
              <w:t xml:space="preserve"> 处测的声压级 ，dB（A）；</w:t>
            </w:r>
          </w:p>
          <w:p>
            <w:pPr>
              <w:pStyle w:val="77"/>
              <w:ind w:firstLine="1200" w:firstLineChars="500"/>
              <w:rPr>
                <w:color w:val="auto"/>
                <w:sz w:val="24"/>
                <w:szCs w:val="24"/>
              </w:rPr>
            </w:pPr>
            <w:r>
              <w:rPr>
                <w:color w:val="auto"/>
                <w:sz w:val="24"/>
                <w:szCs w:val="24"/>
              </w:rPr>
              <w:t>TL——墙壁隔声量，dB（A）；</w:t>
            </w:r>
          </w:p>
          <w:p>
            <w:pPr>
              <w:pStyle w:val="77"/>
              <w:ind w:firstLine="1200" w:firstLineChars="500"/>
              <w:rPr>
                <w:color w:val="auto"/>
                <w:sz w:val="24"/>
                <w:szCs w:val="24"/>
              </w:rPr>
            </w:pPr>
            <w:r>
              <w:rPr>
                <w:color w:val="auto"/>
                <w:sz w:val="24"/>
                <w:szCs w:val="24"/>
              </w:rPr>
              <w:t>a——平均吸声系数，本项目中取0.15；</w:t>
            </w:r>
          </w:p>
          <w:p>
            <w:pPr>
              <w:pStyle w:val="77"/>
              <w:ind w:firstLine="1200" w:firstLineChars="500"/>
              <w:rPr>
                <w:color w:val="auto"/>
                <w:sz w:val="24"/>
                <w:szCs w:val="24"/>
              </w:rPr>
            </w:pPr>
            <w:r>
              <w:rPr>
                <w:color w:val="auto"/>
                <w:sz w:val="24"/>
                <w:szCs w:val="24"/>
              </w:rPr>
              <w:t>r——墙外1m处至预测点的距离，参数距离为1m；</w:t>
            </w:r>
          </w:p>
          <w:p>
            <w:pPr>
              <w:pStyle w:val="77"/>
              <w:ind w:firstLine="1200" w:firstLineChars="500"/>
              <w:rPr>
                <w:color w:val="auto"/>
                <w:sz w:val="24"/>
                <w:szCs w:val="24"/>
              </w:rPr>
            </w:pPr>
            <w:r>
              <w:rPr>
                <w:color w:val="auto"/>
                <w:sz w:val="24"/>
                <w:szCs w:val="24"/>
              </w:rPr>
              <w:t>r</w:t>
            </w:r>
            <w:r>
              <w:rPr>
                <w:color w:val="auto"/>
                <w:sz w:val="24"/>
                <w:szCs w:val="24"/>
                <w:vertAlign w:val="subscript"/>
              </w:rPr>
              <w:t>0</w:t>
            </w:r>
            <w:r>
              <w:rPr>
                <w:color w:val="auto"/>
                <w:sz w:val="24"/>
                <w:szCs w:val="24"/>
              </w:rPr>
              <w:t>——参考位置距噪声源的距离，m。</w:t>
            </w:r>
          </w:p>
          <w:p>
            <w:pPr>
              <w:pStyle w:val="77"/>
              <w:ind w:firstLine="473"/>
              <w:rPr>
                <w:color w:val="auto"/>
                <w:sz w:val="24"/>
                <w:szCs w:val="24"/>
              </w:rPr>
            </w:pPr>
            <w:r>
              <w:rPr>
                <w:color w:val="auto"/>
                <w:sz w:val="24"/>
                <w:szCs w:val="24"/>
              </w:rPr>
              <w:t>③合成声压级</w:t>
            </w:r>
          </w:p>
          <w:p>
            <w:pPr>
              <w:pStyle w:val="77"/>
              <w:ind w:firstLine="473"/>
              <w:rPr>
                <w:color w:val="auto"/>
                <w:sz w:val="24"/>
                <w:szCs w:val="24"/>
              </w:rPr>
            </w:pPr>
            <w:r>
              <w:rPr>
                <w:color w:val="auto"/>
                <w:sz w:val="24"/>
                <w:szCs w:val="24"/>
              </w:rPr>
              <w:t>合成声压级采用公式为：</w:t>
            </w:r>
          </w:p>
          <w:p>
            <w:pPr>
              <w:spacing w:line="360" w:lineRule="auto"/>
              <w:jc w:val="center"/>
              <w:rPr>
                <w:color w:val="auto"/>
                <w:sz w:val="24"/>
                <w:szCs w:val="24"/>
              </w:rPr>
            </w:pPr>
            <w:r>
              <w:rPr>
                <w:color w:val="auto"/>
                <w:sz w:val="24"/>
                <w:szCs w:val="24"/>
              </w:rPr>
              <w:object>
                <v:shape id="_x0000_i1028" o:spt="75" type="#_x0000_t75" style="height:35.15pt;width:109.2pt;" o:ole="t" filled="f" o:preferrelative="t" stroked="f" coordsize="21600,21600">
                  <v:path/>
                  <v:fill on="f" focussize="0,0"/>
                  <v:stroke on="f"/>
                  <v:imagedata r:id="rId18" o:title=""/>
                  <o:lock v:ext="edit" grouping="f" rotation="f" text="f" aspectratio="f"/>
                  <w10:wrap type="none"/>
                  <w10:anchorlock/>
                </v:shape>
                <o:OLEObject Type="Embed" ProgID="" ShapeID="_x0000_i1028" DrawAspect="Content" ObjectID="_1468075728" r:id="rId17">
                  <o:LockedField>false</o:LockedField>
                </o:OLEObject>
              </w:object>
            </w:r>
          </w:p>
          <w:p>
            <w:pPr>
              <w:pStyle w:val="77"/>
              <w:ind w:firstLine="473"/>
              <w:rPr>
                <w:color w:val="auto"/>
                <w:sz w:val="24"/>
                <w:szCs w:val="24"/>
              </w:rPr>
            </w:pPr>
            <w:r>
              <w:rPr>
                <w:color w:val="auto"/>
                <w:sz w:val="24"/>
                <w:szCs w:val="24"/>
              </w:rPr>
              <w:t>式中：</w:t>
            </w:r>
            <w:r>
              <w:rPr>
                <w:i/>
                <w:color w:val="auto"/>
                <w:sz w:val="24"/>
                <w:szCs w:val="24"/>
              </w:rPr>
              <w:t>L</w:t>
            </w:r>
            <w:r>
              <w:rPr>
                <w:i/>
                <w:color w:val="auto"/>
                <w:sz w:val="24"/>
                <w:szCs w:val="24"/>
                <w:vertAlign w:val="subscript"/>
              </w:rPr>
              <w:t>pn</w:t>
            </w:r>
            <w:r>
              <w:rPr>
                <w:color w:val="auto"/>
                <w:sz w:val="24"/>
                <w:szCs w:val="24"/>
              </w:rPr>
              <w:t>——n个噪声源在预测点产生的声压级，dB(A)；</w:t>
            </w:r>
          </w:p>
          <w:p>
            <w:pPr>
              <w:pStyle w:val="77"/>
              <w:ind w:firstLine="473"/>
              <w:rPr>
                <w:color w:val="auto"/>
                <w:sz w:val="24"/>
                <w:szCs w:val="24"/>
              </w:rPr>
            </w:pPr>
            <w:r>
              <w:rPr>
                <w:color w:val="auto"/>
                <w:sz w:val="24"/>
                <w:szCs w:val="24"/>
              </w:rPr>
              <w:t xml:space="preserve">      </w:t>
            </w:r>
            <w:r>
              <w:rPr>
                <w:i/>
                <w:color w:val="auto"/>
                <w:sz w:val="24"/>
                <w:szCs w:val="24"/>
              </w:rPr>
              <w:t>L</w:t>
            </w:r>
            <w:r>
              <w:rPr>
                <w:i/>
                <w:color w:val="auto"/>
                <w:sz w:val="24"/>
                <w:szCs w:val="24"/>
                <w:vertAlign w:val="subscript"/>
              </w:rPr>
              <w:t>pni</w:t>
            </w:r>
            <w:r>
              <w:rPr>
                <w:color w:val="auto"/>
                <w:sz w:val="24"/>
                <w:szCs w:val="24"/>
              </w:rPr>
              <w:t>——第n个噪声源在预测点产生的声压级，dB(A)</w:t>
            </w:r>
            <w:r>
              <w:rPr>
                <w:rFonts w:hint="eastAsia"/>
                <w:color w:val="auto"/>
                <w:sz w:val="24"/>
                <w:szCs w:val="24"/>
              </w:rPr>
              <w:t>。</w:t>
            </w:r>
          </w:p>
          <w:p>
            <w:pPr>
              <w:widowControl/>
              <w:spacing w:line="360" w:lineRule="auto"/>
              <w:ind w:firstLine="480" w:firstLineChars="200"/>
              <w:rPr>
                <w:rFonts w:hint="eastAsia"/>
                <w:color w:val="auto"/>
                <w:sz w:val="24"/>
                <w:szCs w:val="24"/>
              </w:rPr>
            </w:pPr>
            <w:r>
              <w:rPr>
                <w:rFonts w:hint="eastAsia"/>
                <w:color w:val="auto"/>
                <w:sz w:val="24"/>
                <w:szCs w:val="24"/>
              </w:rPr>
              <w:t>噪声预测结果：</w:t>
            </w:r>
          </w:p>
          <w:p>
            <w:pPr>
              <w:widowControl/>
              <w:spacing w:line="360" w:lineRule="auto"/>
              <w:ind w:firstLine="480" w:firstLineChars="200"/>
              <w:rPr>
                <w:rFonts w:hint="eastAsia"/>
                <w:color w:val="auto"/>
                <w:szCs w:val="21"/>
              </w:rPr>
            </w:pPr>
            <w:r>
              <w:rPr>
                <w:rFonts w:hint="eastAsia"/>
                <w:color w:val="auto"/>
                <w:sz w:val="24"/>
                <w:szCs w:val="24"/>
              </w:rPr>
              <w:t>噪声预测按照《环境影响评价技术导则·声环境》（</w:t>
            </w:r>
            <w:r>
              <w:rPr>
                <w:color w:val="auto"/>
                <w:sz w:val="24"/>
                <w:szCs w:val="24"/>
              </w:rPr>
              <w:t>HJ2.4-20</w:t>
            </w:r>
            <w:r>
              <w:rPr>
                <w:rFonts w:hint="eastAsia"/>
                <w:color w:val="auto"/>
                <w:sz w:val="24"/>
                <w:szCs w:val="24"/>
                <w:lang w:val="en-US" w:eastAsia="zh-CN"/>
              </w:rPr>
              <w:t>21</w:t>
            </w:r>
            <w:r>
              <w:rPr>
                <w:rFonts w:hint="eastAsia"/>
                <w:color w:val="auto"/>
                <w:sz w:val="24"/>
                <w:szCs w:val="24"/>
              </w:rPr>
              <w:t>）进行，预测设备噪声到厂界的排放值，并判断是否达标。本项目为新建项目，噪声源包括一台污水站</w:t>
            </w:r>
            <w:r>
              <w:rPr>
                <w:rFonts w:hint="eastAsia"/>
                <w:color w:val="auto"/>
                <w:sz w:val="24"/>
                <w:szCs w:val="24"/>
                <w:lang w:val="en-US" w:eastAsia="zh-CN"/>
              </w:rPr>
              <w:t>投药泵、1台提升泵</w:t>
            </w:r>
            <w:r>
              <w:rPr>
                <w:rFonts w:hint="eastAsia"/>
                <w:color w:val="auto"/>
                <w:sz w:val="24"/>
                <w:szCs w:val="24"/>
              </w:rPr>
              <w:t>、</w:t>
            </w:r>
            <w:r>
              <w:rPr>
                <w:rFonts w:hint="eastAsia"/>
                <w:color w:val="auto"/>
                <w:sz w:val="24"/>
                <w:szCs w:val="24"/>
                <w:lang w:val="en-US" w:eastAsia="zh-CN"/>
              </w:rPr>
              <w:t>1台曝气泵、1台油烟净化器风机</w:t>
            </w:r>
            <w:r>
              <w:rPr>
                <w:rFonts w:hint="eastAsia"/>
                <w:color w:val="auto"/>
                <w:sz w:val="24"/>
                <w:szCs w:val="24"/>
              </w:rPr>
              <w:t>，</w:t>
            </w:r>
            <w:r>
              <w:rPr>
                <w:rFonts w:hint="eastAsia"/>
                <w:color w:val="auto"/>
                <w:sz w:val="24"/>
                <w:szCs w:val="24"/>
                <w:lang w:val="en-US" w:eastAsia="zh-CN"/>
              </w:rPr>
              <w:t>其中投药泵</w:t>
            </w:r>
            <w:r>
              <w:rPr>
                <w:rFonts w:hint="eastAsia"/>
                <w:color w:val="auto"/>
                <w:sz w:val="24"/>
                <w:szCs w:val="24"/>
              </w:rPr>
              <w:t>位于污水处理</w:t>
            </w:r>
            <w:r>
              <w:rPr>
                <w:rFonts w:hint="eastAsia"/>
                <w:color w:val="auto"/>
                <w:sz w:val="24"/>
                <w:szCs w:val="24"/>
                <w:lang w:val="en-US" w:eastAsia="zh-CN"/>
              </w:rPr>
              <w:t>设备</w:t>
            </w:r>
            <w:r>
              <w:rPr>
                <w:rFonts w:hint="eastAsia"/>
                <w:color w:val="auto"/>
                <w:sz w:val="24"/>
                <w:szCs w:val="24"/>
              </w:rPr>
              <w:t>间</w:t>
            </w:r>
            <w:r>
              <w:rPr>
                <w:rFonts w:hint="eastAsia"/>
                <w:color w:val="auto"/>
                <w:sz w:val="24"/>
                <w:szCs w:val="24"/>
                <w:lang w:eastAsia="zh-CN"/>
              </w:rPr>
              <w:t>，</w:t>
            </w:r>
            <w:r>
              <w:rPr>
                <w:rFonts w:hint="eastAsia"/>
                <w:color w:val="auto"/>
                <w:sz w:val="24"/>
                <w:szCs w:val="24"/>
                <w:lang w:val="en-US" w:eastAsia="zh-CN"/>
              </w:rPr>
              <w:t>设备间采用彩钢+岩棉板作为墙体材料，隔声效果良好</w:t>
            </w:r>
            <w:r>
              <w:rPr>
                <w:rFonts w:hint="eastAsia"/>
                <w:color w:val="auto"/>
                <w:sz w:val="24"/>
                <w:szCs w:val="24"/>
                <w:lang w:eastAsia="zh-CN"/>
              </w:rPr>
              <w:t>；</w:t>
            </w:r>
            <w:r>
              <w:rPr>
                <w:rFonts w:hint="eastAsia"/>
                <w:color w:val="auto"/>
                <w:sz w:val="24"/>
                <w:szCs w:val="24"/>
                <w:lang w:val="en-US" w:eastAsia="zh-CN"/>
              </w:rPr>
              <w:t>提升泵与曝气泵在污水处理站地下安置，采取基础减振措施，经池体与地面阻隔，隔声效果显著；油烟净化装置位于7楼楼顶设备间内，设备间为砖混结构，</w:t>
            </w:r>
            <w:r>
              <w:rPr>
                <w:rFonts w:hint="eastAsia"/>
                <w:color w:val="auto"/>
                <w:sz w:val="24"/>
                <w:szCs w:val="24"/>
              </w:rPr>
              <w:t>采取</w:t>
            </w:r>
            <w:r>
              <w:rPr>
                <w:color w:val="auto"/>
                <w:sz w:val="24"/>
                <w:szCs w:val="24"/>
              </w:rPr>
              <w:t>基础减振等措施</w:t>
            </w:r>
            <w:r>
              <w:rPr>
                <w:rFonts w:hint="eastAsia"/>
                <w:color w:val="auto"/>
                <w:sz w:val="24"/>
                <w:szCs w:val="24"/>
                <w:lang w:eastAsia="zh-CN"/>
              </w:rPr>
              <w:t>，</w:t>
            </w:r>
            <w:r>
              <w:rPr>
                <w:rFonts w:hint="eastAsia"/>
                <w:color w:val="auto"/>
                <w:sz w:val="24"/>
                <w:szCs w:val="24"/>
                <w:lang w:val="en-US" w:eastAsia="zh-CN"/>
              </w:rPr>
              <w:t>经墙体隔声后，噪声影响较低</w:t>
            </w:r>
            <w:r>
              <w:rPr>
                <w:rFonts w:hint="eastAsia"/>
                <w:color w:val="auto"/>
                <w:sz w:val="24"/>
                <w:szCs w:val="24"/>
              </w:rPr>
              <w:t>。</w:t>
            </w:r>
            <w:r>
              <w:rPr>
                <w:color w:val="auto"/>
                <w:sz w:val="24"/>
                <w:szCs w:val="24"/>
              </w:rPr>
              <w:t>预测结果</w:t>
            </w:r>
            <w:r>
              <w:rPr>
                <w:rFonts w:hint="eastAsia"/>
                <w:color w:val="auto"/>
                <w:sz w:val="24"/>
                <w:szCs w:val="24"/>
              </w:rPr>
              <w:t>见下表：</w:t>
            </w:r>
          </w:p>
          <w:p>
            <w:pPr>
              <w:widowControl/>
              <w:spacing w:line="360" w:lineRule="auto"/>
              <w:jc w:val="center"/>
              <w:rPr>
                <w:rFonts w:hint="eastAsia"/>
                <w:b/>
                <w:bCs/>
                <w:color w:val="auto"/>
                <w:szCs w:val="21"/>
              </w:rPr>
            </w:pPr>
            <w:r>
              <w:rPr>
                <w:rFonts w:hint="eastAsia"/>
                <w:b/>
                <w:bCs/>
                <w:color w:val="auto"/>
                <w:szCs w:val="21"/>
              </w:rPr>
              <w:t>表4-</w:t>
            </w:r>
            <w:r>
              <w:rPr>
                <w:rFonts w:hint="eastAsia"/>
                <w:b/>
                <w:bCs/>
                <w:color w:val="auto"/>
                <w:szCs w:val="21"/>
                <w:lang w:val="en-US" w:eastAsia="zh-CN"/>
              </w:rPr>
              <w:t>9</w:t>
            </w:r>
            <w:r>
              <w:rPr>
                <w:rFonts w:hint="eastAsia"/>
                <w:color w:val="auto"/>
                <w:szCs w:val="21"/>
              </w:rPr>
              <w:t xml:space="preserve">    </w:t>
            </w:r>
            <w:r>
              <w:rPr>
                <w:rFonts w:hint="eastAsia"/>
                <w:b/>
                <w:bCs/>
                <w:color w:val="auto"/>
                <w:szCs w:val="21"/>
              </w:rPr>
              <w:t>环境噪声影响预测结果表</w:t>
            </w:r>
          </w:p>
          <w:tbl>
            <w:tblPr>
              <w:tblStyle w:val="2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055"/>
              <w:gridCol w:w="1661"/>
              <w:gridCol w:w="783"/>
              <w:gridCol w:w="778"/>
              <w:gridCol w:w="844"/>
              <w:gridCol w:w="856"/>
              <w:gridCol w:w="861"/>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60" w:type="pct"/>
                  <w:noWrap w:val="0"/>
                  <w:vAlign w:val="center"/>
                </w:tcPr>
                <w:p>
                  <w:pPr>
                    <w:snapToGrid w:val="0"/>
                    <w:jc w:val="center"/>
                    <w:rPr>
                      <w:color w:val="auto"/>
                      <w:szCs w:val="21"/>
                    </w:rPr>
                  </w:pPr>
                  <w:r>
                    <w:rPr>
                      <w:color w:val="auto"/>
                      <w:szCs w:val="21"/>
                    </w:rPr>
                    <w:t>设备</w:t>
                  </w:r>
                </w:p>
              </w:tc>
              <w:tc>
                <w:tcPr>
                  <w:tcW w:w="621" w:type="pct"/>
                  <w:noWrap w:val="0"/>
                  <w:vAlign w:val="center"/>
                </w:tcPr>
                <w:p>
                  <w:pPr>
                    <w:snapToGrid w:val="0"/>
                    <w:jc w:val="center"/>
                    <w:rPr>
                      <w:color w:val="auto"/>
                      <w:szCs w:val="21"/>
                    </w:rPr>
                  </w:pPr>
                  <w:r>
                    <w:rPr>
                      <w:color w:val="auto"/>
                      <w:szCs w:val="21"/>
                    </w:rPr>
                    <w:t>叠加降噪后源强dB(A)</w:t>
                  </w:r>
                </w:p>
              </w:tc>
              <w:tc>
                <w:tcPr>
                  <w:tcW w:w="978" w:type="pct"/>
                  <w:noWrap w:val="0"/>
                  <w:vAlign w:val="center"/>
                </w:tcPr>
                <w:p>
                  <w:pPr>
                    <w:snapToGrid w:val="0"/>
                    <w:jc w:val="center"/>
                    <w:rPr>
                      <w:color w:val="auto"/>
                      <w:szCs w:val="21"/>
                    </w:rPr>
                  </w:pPr>
                  <w:r>
                    <w:rPr>
                      <w:color w:val="auto"/>
                      <w:szCs w:val="21"/>
                    </w:rPr>
                    <w:t>厂界</w:t>
                  </w:r>
                </w:p>
              </w:tc>
              <w:tc>
                <w:tcPr>
                  <w:tcW w:w="461" w:type="pct"/>
                  <w:noWrap w:val="0"/>
                  <w:vAlign w:val="center"/>
                </w:tcPr>
                <w:p>
                  <w:pPr>
                    <w:snapToGrid w:val="0"/>
                    <w:jc w:val="center"/>
                    <w:rPr>
                      <w:color w:val="auto"/>
                      <w:szCs w:val="21"/>
                    </w:rPr>
                  </w:pPr>
                  <w:r>
                    <w:rPr>
                      <w:color w:val="auto"/>
                      <w:szCs w:val="21"/>
                    </w:rPr>
                    <w:t>东厂界</w:t>
                  </w:r>
                </w:p>
              </w:tc>
              <w:tc>
                <w:tcPr>
                  <w:tcW w:w="458" w:type="pct"/>
                  <w:noWrap w:val="0"/>
                  <w:vAlign w:val="center"/>
                </w:tcPr>
                <w:p>
                  <w:pPr>
                    <w:snapToGrid w:val="0"/>
                    <w:jc w:val="center"/>
                    <w:rPr>
                      <w:color w:val="auto"/>
                      <w:szCs w:val="21"/>
                    </w:rPr>
                  </w:pPr>
                  <w:r>
                    <w:rPr>
                      <w:rFonts w:hint="eastAsia"/>
                      <w:color w:val="auto"/>
                      <w:szCs w:val="21"/>
                      <w:lang w:val="en-US" w:eastAsia="zh-CN"/>
                    </w:rPr>
                    <w:t>南</w:t>
                  </w:r>
                  <w:r>
                    <w:rPr>
                      <w:color w:val="auto"/>
                      <w:szCs w:val="21"/>
                    </w:rPr>
                    <w:t>厂界</w:t>
                  </w:r>
                </w:p>
              </w:tc>
              <w:tc>
                <w:tcPr>
                  <w:tcW w:w="497" w:type="pct"/>
                  <w:noWrap w:val="0"/>
                  <w:vAlign w:val="center"/>
                </w:tcPr>
                <w:p>
                  <w:pPr>
                    <w:snapToGrid w:val="0"/>
                    <w:jc w:val="center"/>
                    <w:rPr>
                      <w:color w:val="auto"/>
                      <w:szCs w:val="21"/>
                    </w:rPr>
                  </w:pPr>
                  <w:r>
                    <w:rPr>
                      <w:rFonts w:hint="eastAsia"/>
                      <w:color w:val="auto"/>
                      <w:szCs w:val="21"/>
                      <w:lang w:val="en-US" w:eastAsia="zh-CN"/>
                    </w:rPr>
                    <w:t>西</w:t>
                  </w:r>
                  <w:r>
                    <w:rPr>
                      <w:color w:val="auto"/>
                      <w:szCs w:val="21"/>
                    </w:rPr>
                    <w:t>厂界</w:t>
                  </w:r>
                </w:p>
              </w:tc>
              <w:tc>
                <w:tcPr>
                  <w:tcW w:w="504" w:type="pct"/>
                  <w:noWrap w:val="0"/>
                  <w:vAlign w:val="center"/>
                </w:tcPr>
                <w:p>
                  <w:pPr>
                    <w:adjustRightInd w:val="0"/>
                    <w:snapToGrid w:val="0"/>
                    <w:jc w:val="center"/>
                    <w:rPr>
                      <w:color w:val="auto"/>
                      <w:szCs w:val="21"/>
                    </w:rPr>
                  </w:pPr>
                  <w:r>
                    <w:rPr>
                      <w:color w:val="auto"/>
                      <w:szCs w:val="21"/>
                    </w:rPr>
                    <w:t>北厂界</w:t>
                  </w:r>
                </w:p>
              </w:tc>
              <w:tc>
                <w:tcPr>
                  <w:tcW w:w="507" w:type="pct"/>
                  <w:noWrap w:val="0"/>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上和城小区1栋</w:t>
                  </w:r>
                </w:p>
              </w:tc>
              <w:tc>
                <w:tcPr>
                  <w:tcW w:w="512" w:type="pct"/>
                  <w:noWrap w:val="0"/>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上和城小区4号楼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60" w:type="pct"/>
                  <w:vMerge w:val="restart"/>
                  <w:noWrap w:val="0"/>
                  <w:vAlign w:val="center"/>
                </w:tcPr>
                <w:p>
                  <w:pPr>
                    <w:pStyle w:val="62"/>
                    <w:rPr>
                      <w:rFonts w:hint="default" w:eastAsia="宋体"/>
                      <w:color w:val="auto"/>
                      <w:kern w:val="0"/>
                      <w:szCs w:val="21"/>
                      <w:lang w:val="en-US" w:eastAsia="zh-CN"/>
                    </w:rPr>
                  </w:pPr>
                  <w:r>
                    <w:rPr>
                      <w:rFonts w:hint="eastAsia"/>
                      <w:color w:val="auto"/>
                      <w:szCs w:val="21"/>
                      <w:lang w:val="en-US" w:eastAsia="zh-CN"/>
                    </w:rPr>
                    <w:t>投药泵</w:t>
                  </w:r>
                </w:p>
              </w:tc>
              <w:tc>
                <w:tcPr>
                  <w:tcW w:w="621" w:type="pct"/>
                  <w:vMerge w:val="restart"/>
                  <w:noWrap w:val="0"/>
                  <w:vAlign w:val="center"/>
                </w:tcPr>
                <w:p>
                  <w:pPr>
                    <w:widowControl/>
                    <w:jc w:val="center"/>
                    <w:rPr>
                      <w:rFonts w:hint="default" w:eastAsia="宋体"/>
                      <w:color w:val="auto"/>
                      <w:kern w:val="0"/>
                      <w:szCs w:val="21"/>
                      <w:lang w:val="en-US" w:eastAsia="zh-CN"/>
                    </w:rPr>
                  </w:pPr>
                  <w:r>
                    <w:rPr>
                      <w:rFonts w:hint="eastAsia"/>
                      <w:color w:val="auto"/>
                      <w:kern w:val="0"/>
                      <w:szCs w:val="21"/>
                      <w:lang w:val="en-US" w:eastAsia="zh-CN"/>
                    </w:rPr>
                    <w:t>50</w:t>
                  </w:r>
                </w:p>
              </w:tc>
              <w:tc>
                <w:tcPr>
                  <w:tcW w:w="978" w:type="pct"/>
                  <w:noWrap w:val="0"/>
                  <w:vAlign w:val="center"/>
                </w:tcPr>
                <w:p>
                  <w:pPr>
                    <w:widowControl/>
                    <w:jc w:val="center"/>
                    <w:rPr>
                      <w:rFonts w:ascii="Times New Roman" w:hAnsi="Times New Roman" w:eastAsia="宋体" w:cs="Times New Roman"/>
                      <w:color w:val="auto"/>
                      <w:kern w:val="0"/>
                      <w:sz w:val="21"/>
                      <w:szCs w:val="21"/>
                      <w:lang w:val="en-US" w:eastAsia="zh-CN" w:bidi="ar-SA"/>
                    </w:rPr>
                  </w:pPr>
                  <w:r>
                    <w:rPr>
                      <w:color w:val="auto"/>
                      <w:kern w:val="0"/>
                      <w:szCs w:val="21"/>
                    </w:rPr>
                    <w:t>距离（米）</w:t>
                  </w:r>
                </w:p>
              </w:tc>
              <w:tc>
                <w:tcPr>
                  <w:tcW w:w="461"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58"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w:t>
                  </w:r>
                </w:p>
              </w:tc>
              <w:tc>
                <w:tcPr>
                  <w:tcW w:w="49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w:t>
                  </w:r>
                </w:p>
              </w:tc>
              <w:tc>
                <w:tcPr>
                  <w:tcW w:w="50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34</w:t>
                  </w:r>
                </w:p>
              </w:tc>
              <w:tc>
                <w:tcPr>
                  <w:tcW w:w="50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19</w:t>
                  </w:r>
                </w:p>
              </w:tc>
              <w:tc>
                <w:tcPr>
                  <w:tcW w:w="512"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60" w:type="pct"/>
                  <w:vMerge w:val="continue"/>
                  <w:noWrap w:val="0"/>
                  <w:vAlign w:val="center"/>
                </w:tcPr>
                <w:p>
                  <w:pPr>
                    <w:widowControl/>
                    <w:jc w:val="center"/>
                    <w:rPr>
                      <w:color w:val="auto"/>
                      <w:kern w:val="0"/>
                      <w:szCs w:val="21"/>
                    </w:rPr>
                  </w:pPr>
                </w:p>
              </w:tc>
              <w:tc>
                <w:tcPr>
                  <w:tcW w:w="621" w:type="pct"/>
                  <w:vMerge w:val="continue"/>
                  <w:noWrap w:val="0"/>
                  <w:vAlign w:val="center"/>
                </w:tcPr>
                <w:p>
                  <w:pPr>
                    <w:widowControl/>
                    <w:jc w:val="center"/>
                    <w:rPr>
                      <w:color w:val="auto"/>
                      <w:kern w:val="0"/>
                      <w:szCs w:val="21"/>
                    </w:rPr>
                  </w:pPr>
                </w:p>
              </w:tc>
              <w:tc>
                <w:tcPr>
                  <w:tcW w:w="978" w:type="pct"/>
                  <w:noWrap w:val="0"/>
                  <w:vAlign w:val="center"/>
                </w:tcPr>
                <w:p>
                  <w:pPr>
                    <w:widowControl/>
                    <w:jc w:val="center"/>
                    <w:rPr>
                      <w:color w:val="auto"/>
                      <w:kern w:val="0"/>
                      <w:szCs w:val="21"/>
                    </w:rPr>
                  </w:pPr>
                  <w:r>
                    <w:rPr>
                      <w:color w:val="auto"/>
                      <w:szCs w:val="21"/>
                    </w:rPr>
                    <w:t>贡献值dB(A)</w:t>
                  </w:r>
                </w:p>
              </w:tc>
              <w:tc>
                <w:tcPr>
                  <w:tcW w:w="461"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18.2</w:t>
                  </w:r>
                </w:p>
              </w:tc>
              <w:tc>
                <w:tcPr>
                  <w:tcW w:w="458"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25.9</w:t>
                  </w:r>
                </w:p>
              </w:tc>
              <w:tc>
                <w:tcPr>
                  <w:tcW w:w="49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36</w:t>
                  </w:r>
                </w:p>
              </w:tc>
              <w:tc>
                <w:tcPr>
                  <w:tcW w:w="50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19.4</w:t>
                  </w:r>
                </w:p>
              </w:tc>
              <w:tc>
                <w:tcPr>
                  <w:tcW w:w="50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24.4</w:t>
                  </w:r>
                </w:p>
              </w:tc>
              <w:tc>
                <w:tcPr>
                  <w:tcW w:w="512"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60" w:type="pct"/>
                  <w:vMerge w:val="restart"/>
                  <w:noWrap w:val="0"/>
                  <w:vAlign w:val="center"/>
                </w:tcPr>
                <w:p>
                  <w:pPr>
                    <w:widowControl/>
                    <w:jc w:val="center"/>
                    <w:rPr>
                      <w:rFonts w:hint="eastAsia" w:eastAsia="宋体"/>
                      <w:color w:val="auto"/>
                      <w:kern w:val="0"/>
                      <w:szCs w:val="21"/>
                      <w:lang w:val="en-US" w:eastAsia="zh-CN"/>
                    </w:rPr>
                  </w:pPr>
                  <w:r>
                    <w:rPr>
                      <w:rFonts w:hint="eastAsia"/>
                      <w:color w:val="auto"/>
                      <w:kern w:val="0"/>
                      <w:szCs w:val="21"/>
                      <w:lang w:val="en-US" w:eastAsia="zh-CN"/>
                    </w:rPr>
                    <w:t>曝气泵</w:t>
                  </w:r>
                </w:p>
              </w:tc>
              <w:tc>
                <w:tcPr>
                  <w:tcW w:w="621" w:type="pct"/>
                  <w:vMerge w:val="restart"/>
                  <w:noWrap w:val="0"/>
                  <w:vAlign w:val="center"/>
                </w:tcPr>
                <w:p>
                  <w:pPr>
                    <w:widowControl/>
                    <w:jc w:val="center"/>
                    <w:rPr>
                      <w:rFonts w:hint="default" w:eastAsia="宋体"/>
                      <w:color w:val="auto"/>
                      <w:kern w:val="0"/>
                      <w:szCs w:val="21"/>
                      <w:lang w:val="en-US" w:eastAsia="zh-CN"/>
                    </w:rPr>
                  </w:pPr>
                  <w:r>
                    <w:rPr>
                      <w:rFonts w:hint="eastAsia"/>
                      <w:color w:val="auto"/>
                      <w:kern w:val="0"/>
                      <w:szCs w:val="21"/>
                      <w:lang w:val="en-US" w:eastAsia="zh-CN"/>
                    </w:rPr>
                    <w:t>60</w:t>
                  </w:r>
                </w:p>
              </w:tc>
              <w:tc>
                <w:tcPr>
                  <w:tcW w:w="978" w:type="pct"/>
                  <w:noWrap w:val="0"/>
                  <w:vAlign w:val="center"/>
                </w:tcPr>
                <w:p>
                  <w:pPr>
                    <w:widowControl/>
                    <w:jc w:val="center"/>
                    <w:rPr>
                      <w:rFonts w:ascii="Times New Roman" w:hAnsi="Times New Roman" w:eastAsia="宋体" w:cs="Times New Roman"/>
                      <w:color w:val="auto"/>
                      <w:kern w:val="0"/>
                      <w:sz w:val="21"/>
                      <w:szCs w:val="21"/>
                      <w:lang w:val="en-US" w:eastAsia="zh-CN" w:bidi="ar-SA"/>
                    </w:rPr>
                  </w:pPr>
                  <w:r>
                    <w:rPr>
                      <w:color w:val="auto"/>
                      <w:kern w:val="0"/>
                      <w:szCs w:val="21"/>
                    </w:rPr>
                    <w:t>距离（米）</w:t>
                  </w:r>
                </w:p>
              </w:tc>
              <w:tc>
                <w:tcPr>
                  <w:tcW w:w="461"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36</w:t>
                  </w:r>
                </w:p>
              </w:tc>
              <w:tc>
                <w:tcPr>
                  <w:tcW w:w="458"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w:t>
                  </w:r>
                </w:p>
              </w:tc>
              <w:tc>
                <w:tcPr>
                  <w:tcW w:w="497"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8</w:t>
                  </w:r>
                </w:p>
              </w:tc>
              <w:tc>
                <w:tcPr>
                  <w:tcW w:w="504"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35</w:t>
                  </w:r>
                </w:p>
              </w:tc>
              <w:tc>
                <w:tcPr>
                  <w:tcW w:w="507"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22</w:t>
                  </w:r>
                </w:p>
              </w:tc>
              <w:tc>
                <w:tcPr>
                  <w:tcW w:w="512"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60" w:type="pct"/>
                  <w:vMerge w:val="continue"/>
                  <w:noWrap w:val="0"/>
                  <w:vAlign w:val="center"/>
                </w:tcPr>
                <w:p>
                  <w:pPr>
                    <w:widowControl/>
                    <w:jc w:val="center"/>
                    <w:rPr>
                      <w:color w:val="auto"/>
                      <w:kern w:val="0"/>
                      <w:szCs w:val="21"/>
                    </w:rPr>
                  </w:pPr>
                </w:p>
              </w:tc>
              <w:tc>
                <w:tcPr>
                  <w:tcW w:w="621" w:type="pct"/>
                  <w:vMerge w:val="continue"/>
                  <w:noWrap w:val="0"/>
                  <w:vAlign w:val="center"/>
                </w:tcPr>
                <w:p>
                  <w:pPr>
                    <w:widowControl/>
                    <w:jc w:val="center"/>
                    <w:rPr>
                      <w:color w:val="auto"/>
                      <w:kern w:val="0"/>
                      <w:szCs w:val="21"/>
                    </w:rPr>
                  </w:pPr>
                </w:p>
              </w:tc>
              <w:tc>
                <w:tcPr>
                  <w:tcW w:w="978" w:type="pct"/>
                  <w:noWrap w:val="0"/>
                  <w:vAlign w:val="center"/>
                </w:tcPr>
                <w:p>
                  <w:pPr>
                    <w:widowControl/>
                    <w:jc w:val="center"/>
                    <w:rPr>
                      <w:rFonts w:ascii="Times New Roman" w:hAnsi="Times New Roman" w:eastAsia="宋体" w:cs="Times New Roman"/>
                      <w:color w:val="auto"/>
                      <w:kern w:val="0"/>
                      <w:sz w:val="21"/>
                      <w:szCs w:val="21"/>
                      <w:lang w:val="en-US" w:eastAsia="zh-CN" w:bidi="ar-SA"/>
                    </w:rPr>
                  </w:pPr>
                  <w:r>
                    <w:rPr>
                      <w:color w:val="auto"/>
                      <w:szCs w:val="21"/>
                    </w:rPr>
                    <w:t>贡献值dB(A)</w:t>
                  </w:r>
                </w:p>
              </w:tc>
              <w:tc>
                <w:tcPr>
                  <w:tcW w:w="461"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28.9</w:t>
                  </w:r>
                  <w:r>
                    <w:rPr>
                      <w:rFonts w:hint="eastAsia" w:ascii="Times New Roman" w:hAnsi="Times New Roman" w:eastAsia="宋体" w:cs="Times New Roman"/>
                      <w:color w:val="auto"/>
                      <w:szCs w:val="21"/>
                      <w:lang w:val="en-US" w:eastAsia="zh-CN"/>
                    </w:rPr>
                    <w:t xml:space="preserve"> </w:t>
                  </w:r>
                </w:p>
              </w:tc>
              <w:tc>
                <w:tcPr>
                  <w:tcW w:w="458"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36.5</w:t>
                  </w:r>
                </w:p>
              </w:tc>
              <w:tc>
                <w:tcPr>
                  <w:tcW w:w="497"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41.9</w:t>
                  </w:r>
                </w:p>
              </w:tc>
              <w:tc>
                <w:tcPr>
                  <w:tcW w:w="504"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29.1</w:t>
                  </w:r>
                </w:p>
              </w:tc>
              <w:tc>
                <w:tcPr>
                  <w:tcW w:w="507"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33.2</w:t>
                  </w:r>
                </w:p>
              </w:tc>
              <w:tc>
                <w:tcPr>
                  <w:tcW w:w="512"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60" w:type="pct"/>
                  <w:vMerge w:val="restart"/>
                  <w:noWrap w:val="0"/>
                  <w:vAlign w:val="center"/>
                </w:tcPr>
                <w:p>
                  <w:pPr>
                    <w:widowControl/>
                    <w:jc w:val="center"/>
                    <w:rPr>
                      <w:rFonts w:hint="default" w:eastAsia="宋体"/>
                      <w:color w:val="auto"/>
                      <w:kern w:val="0"/>
                      <w:szCs w:val="21"/>
                      <w:lang w:val="en-US" w:eastAsia="zh-CN"/>
                    </w:rPr>
                  </w:pPr>
                  <w:r>
                    <w:rPr>
                      <w:rFonts w:hint="eastAsia"/>
                      <w:color w:val="auto"/>
                      <w:kern w:val="0"/>
                      <w:szCs w:val="21"/>
                      <w:lang w:val="en-US" w:eastAsia="zh-CN"/>
                    </w:rPr>
                    <w:t>提升泵</w:t>
                  </w:r>
                </w:p>
              </w:tc>
              <w:tc>
                <w:tcPr>
                  <w:tcW w:w="621" w:type="pct"/>
                  <w:vMerge w:val="restart"/>
                  <w:noWrap w:val="0"/>
                  <w:vAlign w:val="center"/>
                </w:tcPr>
                <w:p>
                  <w:pPr>
                    <w:widowControl/>
                    <w:jc w:val="center"/>
                    <w:rPr>
                      <w:rFonts w:hint="default" w:eastAsia="宋体"/>
                      <w:color w:val="auto"/>
                      <w:kern w:val="0"/>
                      <w:szCs w:val="21"/>
                      <w:lang w:val="en-US" w:eastAsia="zh-CN"/>
                    </w:rPr>
                  </w:pPr>
                  <w:r>
                    <w:rPr>
                      <w:rFonts w:hint="eastAsia"/>
                      <w:color w:val="auto"/>
                      <w:kern w:val="0"/>
                      <w:szCs w:val="21"/>
                      <w:lang w:val="en-US" w:eastAsia="zh-CN"/>
                    </w:rPr>
                    <w:t>55</w:t>
                  </w:r>
                </w:p>
              </w:tc>
              <w:tc>
                <w:tcPr>
                  <w:tcW w:w="978" w:type="pct"/>
                  <w:noWrap w:val="0"/>
                  <w:vAlign w:val="center"/>
                </w:tcPr>
                <w:p>
                  <w:pPr>
                    <w:widowControl/>
                    <w:jc w:val="center"/>
                    <w:rPr>
                      <w:rFonts w:ascii="Times New Roman" w:hAnsi="Times New Roman" w:eastAsia="宋体" w:cs="Times New Roman"/>
                      <w:color w:val="auto"/>
                      <w:kern w:val="0"/>
                      <w:sz w:val="21"/>
                      <w:szCs w:val="21"/>
                      <w:lang w:val="en-US" w:eastAsia="zh-CN" w:bidi="ar-SA"/>
                    </w:rPr>
                  </w:pPr>
                  <w:r>
                    <w:rPr>
                      <w:color w:val="auto"/>
                      <w:kern w:val="0"/>
                      <w:szCs w:val="21"/>
                    </w:rPr>
                    <w:t>距离（米）</w:t>
                  </w:r>
                </w:p>
              </w:tc>
              <w:tc>
                <w:tcPr>
                  <w:tcW w:w="461"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36</w:t>
                  </w:r>
                </w:p>
              </w:tc>
              <w:tc>
                <w:tcPr>
                  <w:tcW w:w="458"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16</w:t>
                  </w:r>
                </w:p>
              </w:tc>
              <w:tc>
                <w:tcPr>
                  <w:tcW w:w="497"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8</w:t>
                  </w:r>
                </w:p>
              </w:tc>
              <w:tc>
                <w:tcPr>
                  <w:tcW w:w="504"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34</w:t>
                  </w:r>
                </w:p>
              </w:tc>
              <w:tc>
                <w:tcPr>
                  <w:tcW w:w="507"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22</w:t>
                  </w:r>
                </w:p>
              </w:tc>
              <w:tc>
                <w:tcPr>
                  <w:tcW w:w="512"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60" w:type="pct"/>
                  <w:vMerge w:val="continue"/>
                  <w:noWrap w:val="0"/>
                  <w:vAlign w:val="center"/>
                </w:tcPr>
                <w:p>
                  <w:pPr>
                    <w:widowControl/>
                    <w:jc w:val="center"/>
                    <w:rPr>
                      <w:color w:val="auto"/>
                      <w:kern w:val="0"/>
                      <w:szCs w:val="21"/>
                    </w:rPr>
                  </w:pPr>
                </w:p>
              </w:tc>
              <w:tc>
                <w:tcPr>
                  <w:tcW w:w="621" w:type="pct"/>
                  <w:vMerge w:val="continue"/>
                  <w:noWrap w:val="0"/>
                  <w:vAlign w:val="center"/>
                </w:tcPr>
                <w:p>
                  <w:pPr>
                    <w:widowControl/>
                    <w:jc w:val="center"/>
                    <w:rPr>
                      <w:color w:val="auto"/>
                      <w:kern w:val="0"/>
                      <w:szCs w:val="21"/>
                    </w:rPr>
                  </w:pPr>
                </w:p>
              </w:tc>
              <w:tc>
                <w:tcPr>
                  <w:tcW w:w="978" w:type="pct"/>
                  <w:noWrap w:val="0"/>
                  <w:vAlign w:val="center"/>
                </w:tcPr>
                <w:p>
                  <w:pPr>
                    <w:widowControl/>
                    <w:jc w:val="center"/>
                    <w:rPr>
                      <w:rFonts w:ascii="Times New Roman" w:hAnsi="Times New Roman" w:eastAsia="宋体" w:cs="Times New Roman"/>
                      <w:color w:val="auto"/>
                      <w:kern w:val="0"/>
                      <w:sz w:val="21"/>
                      <w:szCs w:val="21"/>
                      <w:lang w:val="en-US" w:eastAsia="zh-CN" w:bidi="ar-SA"/>
                    </w:rPr>
                  </w:pPr>
                  <w:r>
                    <w:rPr>
                      <w:color w:val="auto"/>
                      <w:szCs w:val="21"/>
                    </w:rPr>
                    <w:t>贡献值dB(A)</w:t>
                  </w:r>
                </w:p>
              </w:tc>
              <w:tc>
                <w:tcPr>
                  <w:tcW w:w="461"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23.9</w:t>
                  </w:r>
                </w:p>
              </w:tc>
              <w:tc>
                <w:tcPr>
                  <w:tcW w:w="458"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30.9</w:t>
                  </w:r>
                </w:p>
              </w:tc>
              <w:tc>
                <w:tcPr>
                  <w:tcW w:w="497"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36.9</w:t>
                  </w:r>
                </w:p>
              </w:tc>
              <w:tc>
                <w:tcPr>
                  <w:tcW w:w="504"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24.4</w:t>
                  </w:r>
                </w:p>
              </w:tc>
              <w:tc>
                <w:tcPr>
                  <w:tcW w:w="507"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28.8</w:t>
                  </w:r>
                </w:p>
              </w:tc>
              <w:tc>
                <w:tcPr>
                  <w:tcW w:w="512" w:type="pct"/>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60" w:type="pct"/>
                  <w:vMerge w:val="restart"/>
                  <w:noWrap w:val="0"/>
                  <w:vAlign w:val="center"/>
                </w:tcPr>
                <w:p>
                  <w:pPr>
                    <w:widowControl/>
                    <w:jc w:val="center"/>
                    <w:rPr>
                      <w:rFonts w:hint="default" w:eastAsia="宋体"/>
                      <w:color w:val="auto"/>
                      <w:kern w:val="0"/>
                      <w:szCs w:val="21"/>
                      <w:lang w:val="en-US" w:eastAsia="zh-CN"/>
                    </w:rPr>
                  </w:pPr>
                  <w:r>
                    <w:rPr>
                      <w:rFonts w:hint="eastAsia"/>
                      <w:color w:val="auto"/>
                      <w:kern w:val="0"/>
                      <w:szCs w:val="21"/>
                      <w:lang w:val="en-US" w:eastAsia="zh-CN"/>
                    </w:rPr>
                    <w:t>油烟净化器风机</w:t>
                  </w:r>
                </w:p>
              </w:tc>
              <w:tc>
                <w:tcPr>
                  <w:tcW w:w="621" w:type="pct"/>
                  <w:vMerge w:val="restart"/>
                  <w:noWrap w:val="0"/>
                  <w:vAlign w:val="center"/>
                </w:tcPr>
                <w:p>
                  <w:pPr>
                    <w:widowControl/>
                    <w:jc w:val="center"/>
                    <w:rPr>
                      <w:rFonts w:hint="default" w:eastAsia="宋体"/>
                      <w:color w:val="auto"/>
                      <w:kern w:val="0"/>
                      <w:szCs w:val="21"/>
                      <w:lang w:val="en-US" w:eastAsia="zh-CN"/>
                    </w:rPr>
                  </w:pPr>
                  <w:r>
                    <w:rPr>
                      <w:rFonts w:hint="eastAsia"/>
                      <w:color w:val="auto"/>
                      <w:kern w:val="0"/>
                      <w:szCs w:val="21"/>
                      <w:lang w:val="en-US" w:eastAsia="zh-CN"/>
                    </w:rPr>
                    <w:t>60</w:t>
                  </w:r>
                </w:p>
              </w:tc>
              <w:tc>
                <w:tcPr>
                  <w:tcW w:w="978" w:type="pct"/>
                  <w:noWrap w:val="0"/>
                  <w:vAlign w:val="center"/>
                </w:tcPr>
                <w:p>
                  <w:pPr>
                    <w:widowControl/>
                    <w:jc w:val="center"/>
                    <w:rPr>
                      <w:rFonts w:ascii="Times New Roman" w:hAnsi="Times New Roman" w:eastAsia="宋体" w:cs="Times New Roman"/>
                      <w:color w:val="auto"/>
                      <w:kern w:val="0"/>
                      <w:sz w:val="21"/>
                      <w:szCs w:val="21"/>
                      <w:lang w:val="en-US" w:eastAsia="zh-CN" w:bidi="ar-SA"/>
                    </w:rPr>
                  </w:pPr>
                  <w:r>
                    <w:rPr>
                      <w:color w:val="auto"/>
                      <w:kern w:val="0"/>
                      <w:szCs w:val="21"/>
                    </w:rPr>
                    <w:t>距离（米）</w:t>
                  </w:r>
                </w:p>
              </w:tc>
              <w:tc>
                <w:tcPr>
                  <w:tcW w:w="461"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34</w:t>
                  </w:r>
                </w:p>
              </w:tc>
              <w:tc>
                <w:tcPr>
                  <w:tcW w:w="458"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49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50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50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w:t>
                  </w:r>
                </w:p>
              </w:tc>
              <w:tc>
                <w:tcPr>
                  <w:tcW w:w="512"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460" w:type="pct"/>
                  <w:vMerge w:val="continue"/>
                  <w:noWrap w:val="0"/>
                  <w:vAlign w:val="center"/>
                </w:tcPr>
                <w:p>
                  <w:pPr>
                    <w:widowControl/>
                    <w:jc w:val="center"/>
                    <w:rPr>
                      <w:rFonts w:hint="eastAsia"/>
                      <w:color w:val="auto"/>
                      <w:kern w:val="0"/>
                      <w:szCs w:val="21"/>
                      <w:lang w:val="en-US" w:eastAsia="zh-CN"/>
                    </w:rPr>
                  </w:pPr>
                </w:p>
              </w:tc>
              <w:tc>
                <w:tcPr>
                  <w:tcW w:w="621" w:type="pct"/>
                  <w:vMerge w:val="continue"/>
                  <w:noWrap w:val="0"/>
                  <w:vAlign w:val="center"/>
                </w:tcPr>
                <w:p>
                  <w:pPr>
                    <w:widowControl/>
                    <w:jc w:val="center"/>
                    <w:rPr>
                      <w:rFonts w:hint="eastAsia"/>
                      <w:color w:val="auto"/>
                      <w:kern w:val="0"/>
                      <w:szCs w:val="21"/>
                      <w:lang w:val="en-US" w:eastAsia="zh-CN"/>
                    </w:rPr>
                  </w:pPr>
                </w:p>
              </w:tc>
              <w:tc>
                <w:tcPr>
                  <w:tcW w:w="978" w:type="pct"/>
                  <w:noWrap w:val="0"/>
                  <w:vAlign w:val="center"/>
                </w:tcPr>
                <w:p>
                  <w:pPr>
                    <w:widowControl/>
                    <w:jc w:val="center"/>
                    <w:rPr>
                      <w:rFonts w:ascii="Times New Roman" w:hAnsi="Times New Roman" w:eastAsia="宋体" w:cs="Times New Roman"/>
                      <w:color w:val="auto"/>
                      <w:kern w:val="0"/>
                      <w:sz w:val="21"/>
                      <w:szCs w:val="21"/>
                      <w:lang w:val="en-US" w:eastAsia="zh-CN" w:bidi="ar-SA"/>
                    </w:rPr>
                  </w:pPr>
                  <w:r>
                    <w:rPr>
                      <w:color w:val="auto"/>
                      <w:szCs w:val="21"/>
                    </w:rPr>
                    <w:t>贡献值dB(A)</w:t>
                  </w:r>
                </w:p>
              </w:tc>
              <w:tc>
                <w:tcPr>
                  <w:tcW w:w="461" w:type="pct"/>
                  <w:noWrap w:val="0"/>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29.4 </w:t>
                  </w:r>
                </w:p>
              </w:tc>
              <w:tc>
                <w:tcPr>
                  <w:tcW w:w="458" w:type="pct"/>
                  <w:noWrap w:val="0"/>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32.0 </w:t>
                  </w:r>
                </w:p>
              </w:tc>
              <w:tc>
                <w:tcPr>
                  <w:tcW w:w="497" w:type="pct"/>
                  <w:noWrap w:val="0"/>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40.0 </w:t>
                  </w:r>
                </w:p>
              </w:tc>
              <w:tc>
                <w:tcPr>
                  <w:tcW w:w="504" w:type="pct"/>
                  <w:noWrap w:val="0"/>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32.0 </w:t>
                  </w:r>
                </w:p>
              </w:tc>
              <w:tc>
                <w:tcPr>
                  <w:tcW w:w="50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34.0</w:t>
                  </w:r>
                </w:p>
              </w:tc>
              <w:tc>
                <w:tcPr>
                  <w:tcW w:w="512"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059" w:type="pct"/>
                  <w:gridSpan w:val="3"/>
                  <w:noWrap w:val="0"/>
                  <w:vAlign w:val="center"/>
                </w:tcPr>
                <w:p>
                  <w:pPr>
                    <w:widowControl/>
                    <w:jc w:val="center"/>
                    <w:rPr>
                      <w:color w:val="auto"/>
                      <w:szCs w:val="21"/>
                    </w:rPr>
                  </w:pPr>
                  <w:r>
                    <w:rPr>
                      <w:color w:val="auto"/>
                    </w:rPr>
                    <w:t>贡献</w:t>
                  </w:r>
                  <w:r>
                    <w:rPr>
                      <w:color w:val="auto"/>
                      <w:szCs w:val="21"/>
                    </w:rPr>
                    <w:t>值</w:t>
                  </w:r>
                  <w:r>
                    <w:rPr>
                      <w:color w:val="auto"/>
                    </w:rPr>
                    <w:t>dB(A)</w:t>
                  </w:r>
                </w:p>
              </w:tc>
              <w:tc>
                <w:tcPr>
                  <w:tcW w:w="461"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30.4</w:t>
                  </w:r>
                </w:p>
              </w:tc>
              <w:tc>
                <w:tcPr>
                  <w:tcW w:w="458"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37.8</w:t>
                  </w:r>
                </w:p>
              </w:tc>
              <w:tc>
                <w:tcPr>
                  <w:tcW w:w="497"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43.9</w:t>
                  </w:r>
                </w:p>
              </w:tc>
              <w:tc>
                <w:tcPr>
                  <w:tcW w:w="50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30.7</w:t>
                  </w:r>
                </w:p>
              </w:tc>
              <w:tc>
                <w:tcPr>
                  <w:tcW w:w="507" w:type="pct"/>
                  <w:noWrap w:val="0"/>
                  <w:vAlign w:val="center"/>
                </w:tcPr>
                <w:p>
                  <w:pPr>
                    <w:widowControl/>
                    <w:jc w:val="center"/>
                    <w:rPr>
                      <w:rFonts w:hint="default" w:cs="Times New Roman"/>
                      <w:color w:val="auto"/>
                      <w:szCs w:val="21"/>
                      <w:lang w:val="en-US" w:eastAsia="zh-CN"/>
                    </w:rPr>
                  </w:pPr>
                  <w:r>
                    <w:rPr>
                      <w:rFonts w:hint="eastAsia" w:cs="Times New Roman"/>
                      <w:color w:val="auto"/>
                      <w:szCs w:val="21"/>
                      <w:lang w:val="en-US" w:eastAsia="zh-CN"/>
                    </w:rPr>
                    <w:t>34.8</w:t>
                  </w:r>
                </w:p>
              </w:tc>
              <w:tc>
                <w:tcPr>
                  <w:tcW w:w="512" w:type="pct"/>
                  <w:noWrap w:val="0"/>
                  <w:vAlign w:val="center"/>
                </w:tcPr>
                <w:p>
                  <w:pPr>
                    <w:widowControl/>
                    <w:jc w:val="center"/>
                    <w:rPr>
                      <w:rFonts w:hint="default" w:cs="Times New Roman"/>
                      <w:color w:val="auto"/>
                      <w:szCs w:val="21"/>
                      <w:lang w:val="en-US" w:eastAsia="zh-CN"/>
                    </w:rPr>
                  </w:pPr>
                  <w:r>
                    <w:rPr>
                      <w:rFonts w:hint="eastAsia" w:cs="Times New Roman"/>
                      <w:color w:val="auto"/>
                      <w:szCs w:val="21"/>
                      <w:lang w:val="en-US" w:eastAsia="zh-CN"/>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059" w:type="pct"/>
                  <w:gridSpan w:val="3"/>
                  <w:noWrap w:val="0"/>
                  <w:vAlign w:val="center"/>
                </w:tcPr>
                <w:p>
                  <w:pPr>
                    <w:adjustRightInd w:val="0"/>
                    <w:snapToGrid w:val="0"/>
                    <w:jc w:val="center"/>
                    <w:rPr>
                      <w:color w:val="auto"/>
                      <w:szCs w:val="21"/>
                    </w:rPr>
                  </w:pPr>
                  <w:r>
                    <w:rPr>
                      <w:color w:val="auto"/>
                    </w:rPr>
                    <w:t>标准值dB(A)</w:t>
                  </w:r>
                </w:p>
              </w:tc>
              <w:tc>
                <w:tcPr>
                  <w:tcW w:w="1920" w:type="pct"/>
                  <w:gridSpan w:val="4"/>
                  <w:noWrap w:val="0"/>
                  <w:vAlign w:val="center"/>
                </w:tcPr>
                <w:p>
                  <w:pPr>
                    <w:adjustRightInd w:val="0"/>
                    <w:snapToGrid w:val="0"/>
                    <w:jc w:val="center"/>
                    <w:rPr>
                      <w:color w:val="auto"/>
                    </w:rPr>
                  </w:pPr>
                  <w:r>
                    <w:rPr>
                      <w:rFonts w:hint="eastAsia"/>
                      <w:color w:val="auto"/>
                      <w:lang w:val="en-US" w:eastAsia="zh-CN"/>
                    </w:rPr>
                    <w:t>1</w:t>
                  </w:r>
                  <w:r>
                    <w:rPr>
                      <w:color w:val="auto"/>
                    </w:rPr>
                    <w:t>类昼间</w:t>
                  </w:r>
                  <w:r>
                    <w:rPr>
                      <w:rFonts w:hint="eastAsia"/>
                      <w:color w:val="auto"/>
                      <w:lang w:val="en-US" w:eastAsia="zh-CN"/>
                    </w:rPr>
                    <w:t>55</w:t>
                  </w:r>
                  <w:r>
                    <w:rPr>
                      <w:color w:val="auto"/>
                    </w:rPr>
                    <w:t>dB(A)，夜间</w:t>
                  </w:r>
                  <w:r>
                    <w:rPr>
                      <w:rFonts w:hint="eastAsia"/>
                      <w:color w:val="auto"/>
                      <w:lang w:val="en-US" w:eastAsia="zh-CN"/>
                    </w:rPr>
                    <w:t>45</w:t>
                  </w:r>
                  <w:r>
                    <w:rPr>
                      <w:color w:val="auto"/>
                    </w:rPr>
                    <w:t>dB(A)</w:t>
                  </w:r>
                </w:p>
                <w:p>
                  <w:pPr>
                    <w:adjustRightInd w:val="0"/>
                    <w:snapToGrid w:val="0"/>
                    <w:jc w:val="center"/>
                    <w:rPr>
                      <w:color w:val="auto"/>
                    </w:rPr>
                  </w:pPr>
                  <w:r>
                    <w:rPr>
                      <w:color w:val="auto"/>
                    </w:rPr>
                    <w:t>4类昼间70dB(A)，夜间55dB(A)</w:t>
                  </w:r>
                </w:p>
              </w:tc>
              <w:tc>
                <w:tcPr>
                  <w:tcW w:w="1019" w:type="pct"/>
                  <w:gridSpan w:val="2"/>
                  <w:noWrap w:val="0"/>
                  <w:vAlign w:val="center"/>
                </w:tcPr>
                <w:p>
                  <w:pPr>
                    <w:adjustRightInd w:val="0"/>
                    <w:snapToGrid w:val="0"/>
                    <w:jc w:val="center"/>
                    <w:rPr>
                      <w:rFonts w:hint="default" w:eastAsia="宋体"/>
                      <w:color w:val="auto"/>
                      <w:lang w:val="en-US" w:eastAsia="zh-CN"/>
                    </w:rPr>
                  </w:pPr>
                  <w:r>
                    <w:rPr>
                      <w:rFonts w:hint="eastAsia"/>
                      <w:color w:val="auto"/>
                      <w:lang w:val="en-US" w:eastAsia="zh-CN"/>
                    </w:rPr>
                    <w:t>1类昼间55</w:t>
                  </w:r>
                  <w:r>
                    <w:rPr>
                      <w:color w:val="auto"/>
                    </w:rPr>
                    <w:t>dB(A)，夜间</w:t>
                  </w:r>
                  <w:r>
                    <w:rPr>
                      <w:rFonts w:hint="eastAsia"/>
                      <w:color w:val="auto"/>
                      <w:lang w:val="en-US" w:eastAsia="zh-CN"/>
                    </w:rPr>
                    <w:t>45</w:t>
                  </w:r>
                  <w:r>
                    <w:rPr>
                      <w:color w:val="auto"/>
                    </w:rPr>
                    <w:t>dB(A)</w:t>
                  </w:r>
                </w:p>
              </w:tc>
            </w:tr>
          </w:tbl>
          <w:p>
            <w:pPr>
              <w:spacing w:line="360" w:lineRule="auto"/>
              <w:ind w:firstLine="480" w:firstLineChars="200"/>
              <w:rPr>
                <w:rFonts w:hint="eastAsia"/>
                <w:bCs/>
                <w:snapToGrid w:val="0"/>
                <w:color w:val="auto"/>
                <w:kern w:val="0"/>
                <w:sz w:val="24"/>
                <w:szCs w:val="24"/>
              </w:rPr>
            </w:pPr>
            <w:r>
              <w:rPr>
                <w:rFonts w:hint="eastAsia"/>
                <w:color w:val="auto"/>
                <w:sz w:val="24"/>
                <w:szCs w:val="24"/>
              </w:rPr>
              <w:t>根据上表中预测结果可知，项目建成运行后，本项目厂界</w:t>
            </w:r>
            <w:r>
              <w:rPr>
                <w:rFonts w:hint="eastAsia"/>
                <w:color w:val="auto"/>
                <w:sz w:val="24"/>
                <w:szCs w:val="24"/>
                <w:lang w:val="en-US" w:eastAsia="zh-CN"/>
              </w:rPr>
              <w:t>东侧、西侧及北侧</w:t>
            </w:r>
            <w:r>
              <w:rPr>
                <w:rFonts w:hint="eastAsia"/>
                <w:color w:val="auto"/>
                <w:sz w:val="24"/>
                <w:szCs w:val="24"/>
              </w:rPr>
              <w:t>噪声</w:t>
            </w:r>
            <w:r>
              <w:rPr>
                <w:rFonts w:hint="eastAsia"/>
                <w:color w:val="auto"/>
                <w:sz w:val="24"/>
                <w:szCs w:val="24"/>
                <w:lang w:val="en-US" w:eastAsia="zh-CN"/>
              </w:rPr>
              <w:t>贡献值</w:t>
            </w:r>
            <w:r>
              <w:rPr>
                <w:rFonts w:hint="eastAsia"/>
                <w:color w:val="auto"/>
                <w:sz w:val="24"/>
                <w:szCs w:val="24"/>
              </w:rPr>
              <w:t>均满足《工业企业厂界环境噪声排放标准》（GB12348-2008）中的</w:t>
            </w:r>
            <w:r>
              <w:rPr>
                <w:rFonts w:hint="eastAsia"/>
                <w:color w:val="auto"/>
                <w:sz w:val="24"/>
                <w:szCs w:val="24"/>
                <w:lang w:val="en-US" w:eastAsia="zh-CN"/>
              </w:rPr>
              <w:t>1</w:t>
            </w:r>
            <w:r>
              <w:rPr>
                <w:rFonts w:hint="eastAsia"/>
                <w:color w:val="auto"/>
                <w:sz w:val="24"/>
                <w:szCs w:val="24"/>
              </w:rPr>
              <w:t>类标准，厂界南侧噪声</w:t>
            </w:r>
            <w:r>
              <w:rPr>
                <w:rFonts w:hint="eastAsia"/>
                <w:color w:val="auto"/>
                <w:sz w:val="24"/>
                <w:szCs w:val="24"/>
                <w:lang w:val="en-US" w:eastAsia="zh-CN"/>
              </w:rPr>
              <w:t>贡献值</w:t>
            </w:r>
            <w:r>
              <w:rPr>
                <w:rFonts w:hint="eastAsia"/>
                <w:color w:val="auto"/>
                <w:sz w:val="24"/>
                <w:szCs w:val="24"/>
              </w:rPr>
              <w:t>满足《工业企业厂界环境噪声排放标准》（GB12348-2008）中的4类标准</w:t>
            </w:r>
            <w:r>
              <w:rPr>
                <w:rFonts w:hint="eastAsia"/>
                <w:color w:val="auto"/>
                <w:sz w:val="24"/>
                <w:szCs w:val="24"/>
                <w:lang w:eastAsia="zh-CN"/>
              </w:rPr>
              <w:t>。</w:t>
            </w:r>
            <w:r>
              <w:rPr>
                <w:rFonts w:hint="eastAsia"/>
                <w:color w:val="auto"/>
                <w:sz w:val="24"/>
                <w:szCs w:val="24"/>
              </w:rPr>
              <w:t>周围环境保护目标噪声</w:t>
            </w:r>
            <w:r>
              <w:rPr>
                <w:rFonts w:hint="eastAsia"/>
                <w:color w:val="auto"/>
                <w:sz w:val="24"/>
                <w:szCs w:val="24"/>
                <w:lang w:val="en-US" w:eastAsia="zh-CN"/>
              </w:rPr>
              <w:t>贡献值</w:t>
            </w:r>
            <w:r>
              <w:rPr>
                <w:rFonts w:hint="eastAsia"/>
                <w:color w:val="auto"/>
                <w:sz w:val="24"/>
                <w:szCs w:val="24"/>
              </w:rPr>
              <w:t>均</w:t>
            </w:r>
            <w:r>
              <w:rPr>
                <w:rFonts w:hint="eastAsia"/>
                <w:color w:val="auto"/>
                <w:sz w:val="24"/>
                <w:szCs w:val="24"/>
                <w:lang w:val="en-US" w:eastAsia="zh-CN"/>
              </w:rPr>
              <w:t>能</w:t>
            </w:r>
            <w:r>
              <w:rPr>
                <w:rFonts w:hint="eastAsia"/>
                <w:color w:val="auto"/>
                <w:sz w:val="24"/>
                <w:szCs w:val="24"/>
              </w:rPr>
              <w:t>满足《声环境质量标准》（GB3096-2008）</w:t>
            </w:r>
            <w:r>
              <w:rPr>
                <w:rFonts w:hint="eastAsia"/>
                <w:color w:val="auto"/>
                <w:sz w:val="24"/>
                <w:szCs w:val="24"/>
                <w:lang w:val="en-US" w:eastAsia="zh-CN"/>
              </w:rPr>
              <w:t>1</w:t>
            </w:r>
            <w:r>
              <w:rPr>
                <w:rFonts w:hint="eastAsia"/>
                <w:color w:val="auto"/>
                <w:sz w:val="24"/>
                <w:szCs w:val="24"/>
              </w:rPr>
              <w:t>类标准要求</w:t>
            </w:r>
            <w:r>
              <w:rPr>
                <w:rFonts w:hint="eastAsia"/>
                <w:color w:val="auto"/>
                <w:sz w:val="24"/>
                <w:szCs w:val="24"/>
                <w:lang w:val="en-US" w:eastAsia="zh-CN"/>
              </w:rPr>
              <w:t>，</w:t>
            </w:r>
            <w:r>
              <w:rPr>
                <w:rFonts w:hint="eastAsia"/>
                <w:color w:val="auto"/>
                <w:sz w:val="24"/>
                <w:szCs w:val="24"/>
              </w:rPr>
              <w:t>因此</w:t>
            </w:r>
            <w:r>
              <w:rPr>
                <w:rFonts w:hint="eastAsia"/>
                <w:bCs/>
                <w:snapToGrid w:val="0"/>
                <w:color w:val="auto"/>
                <w:kern w:val="0"/>
                <w:sz w:val="24"/>
                <w:szCs w:val="24"/>
              </w:rPr>
              <w:t>本项目运行对周边住户及环境影响较小。</w:t>
            </w:r>
          </w:p>
          <w:p>
            <w:pPr>
              <w:spacing w:line="360" w:lineRule="auto"/>
              <w:ind w:firstLine="480" w:firstLineChars="200"/>
              <w:rPr>
                <w:rFonts w:hint="eastAsia"/>
                <w:color w:val="auto"/>
                <w:sz w:val="24"/>
                <w:szCs w:val="24"/>
              </w:rPr>
            </w:pPr>
            <w:r>
              <w:rPr>
                <w:rFonts w:hint="eastAsia"/>
                <w:color w:val="auto"/>
                <w:sz w:val="24"/>
                <w:szCs w:val="24"/>
              </w:rPr>
              <w:t>（</w:t>
            </w:r>
            <w:r>
              <w:rPr>
                <w:rFonts w:hint="eastAsia"/>
                <w:color w:val="auto"/>
                <w:sz w:val="24"/>
                <w:szCs w:val="24"/>
                <w:lang w:val="en-US" w:eastAsia="zh-CN"/>
              </w:rPr>
              <w:t>3</w:t>
            </w:r>
            <w:r>
              <w:rPr>
                <w:rFonts w:hint="eastAsia"/>
                <w:color w:val="auto"/>
                <w:sz w:val="24"/>
                <w:szCs w:val="24"/>
              </w:rPr>
              <w:t>）监测要求（监测点位、监测频次）</w:t>
            </w:r>
          </w:p>
          <w:p>
            <w:pPr>
              <w:spacing w:line="360" w:lineRule="auto"/>
              <w:ind w:firstLine="480" w:firstLineChars="200"/>
              <w:rPr>
                <w:rFonts w:hint="eastAsia"/>
                <w:color w:val="auto"/>
                <w:sz w:val="24"/>
                <w:szCs w:val="24"/>
              </w:rPr>
            </w:pPr>
            <w:r>
              <w:rPr>
                <w:rFonts w:hint="eastAsia"/>
                <w:color w:val="auto"/>
                <w:sz w:val="24"/>
                <w:szCs w:val="24"/>
              </w:rPr>
              <w:t>本项目噪声监测要求见下表。</w:t>
            </w:r>
          </w:p>
          <w:p>
            <w:pPr>
              <w:widowControl/>
              <w:autoSpaceDE w:val="0"/>
              <w:autoSpaceDN w:val="0"/>
              <w:adjustRightInd w:val="0"/>
              <w:spacing w:line="360" w:lineRule="auto"/>
              <w:jc w:val="center"/>
              <w:rPr>
                <w:rFonts w:hint="eastAsia"/>
                <w:b/>
                <w:color w:val="auto"/>
                <w:szCs w:val="21"/>
              </w:rPr>
            </w:pPr>
            <w:r>
              <w:rPr>
                <w:rFonts w:hint="eastAsia"/>
                <w:b/>
                <w:color w:val="auto"/>
                <w:szCs w:val="21"/>
              </w:rPr>
              <w:t>表4-</w:t>
            </w:r>
            <w:r>
              <w:rPr>
                <w:rFonts w:hint="eastAsia"/>
                <w:b/>
                <w:color w:val="auto"/>
                <w:szCs w:val="21"/>
                <w:lang w:val="en-US" w:eastAsia="zh-CN"/>
              </w:rPr>
              <w:t>10</w:t>
            </w:r>
            <w:r>
              <w:rPr>
                <w:rFonts w:hint="eastAsia"/>
                <w:b/>
                <w:color w:val="auto"/>
                <w:szCs w:val="21"/>
              </w:rPr>
              <w:t xml:space="preserve">    噪声监测内容及计划一览表</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196"/>
              <w:gridCol w:w="1413"/>
              <w:gridCol w:w="1444"/>
              <w:gridCol w:w="1210"/>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1" w:type="pct"/>
                  <w:gridSpan w:val="2"/>
                  <w:noWrap w:val="0"/>
                  <w:vAlign w:val="center"/>
                </w:tcPr>
                <w:p>
                  <w:pPr>
                    <w:jc w:val="center"/>
                    <w:rPr>
                      <w:b/>
                      <w:bCs/>
                      <w:color w:val="auto"/>
                      <w:szCs w:val="21"/>
                    </w:rPr>
                  </w:pPr>
                  <w:r>
                    <w:rPr>
                      <w:rFonts w:hint="eastAsia"/>
                      <w:b/>
                      <w:bCs/>
                      <w:color w:val="auto"/>
                      <w:szCs w:val="21"/>
                    </w:rPr>
                    <w:t>类别</w:t>
                  </w:r>
                </w:p>
              </w:tc>
              <w:tc>
                <w:tcPr>
                  <w:tcW w:w="832" w:type="pct"/>
                  <w:noWrap w:val="0"/>
                  <w:vAlign w:val="center"/>
                </w:tcPr>
                <w:p>
                  <w:pPr>
                    <w:jc w:val="center"/>
                    <w:rPr>
                      <w:b/>
                      <w:bCs/>
                      <w:color w:val="auto"/>
                      <w:szCs w:val="21"/>
                    </w:rPr>
                  </w:pPr>
                  <w:r>
                    <w:rPr>
                      <w:rFonts w:hint="eastAsia"/>
                      <w:b/>
                      <w:bCs/>
                      <w:color w:val="auto"/>
                      <w:szCs w:val="21"/>
                    </w:rPr>
                    <w:t>监测因子</w:t>
                  </w:r>
                </w:p>
              </w:tc>
              <w:tc>
                <w:tcPr>
                  <w:tcW w:w="850" w:type="pct"/>
                  <w:noWrap w:val="0"/>
                  <w:vAlign w:val="center"/>
                </w:tcPr>
                <w:p>
                  <w:pPr>
                    <w:jc w:val="center"/>
                    <w:rPr>
                      <w:rFonts w:hint="eastAsia"/>
                      <w:b/>
                      <w:bCs/>
                      <w:color w:val="auto"/>
                      <w:szCs w:val="21"/>
                    </w:rPr>
                  </w:pPr>
                  <w:r>
                    <w:rPr>
                      <w:rFonts w:hint="eastAsia"/>
                      <w:b/>
                      <w:bCs/>
                      <w:color w:val="auto"/>
                      <w:szCs w:val="21"/>
                    </w:rPr>
                    <w:t>监测点位</w:t>
                  </w:r>
                </w:p>
              </w:tc>
              <w:tc>
                <w:tcPr>
                  <w:tcW w:w="712" w:type="pct"/>
                  <w:noWrap w:val="0"/>
                  <w:vAlign w:val="center"/>
                </w:tcPr>
                <w:p>
                  <w:pPr>
                    <w:jc w:val="center"/>
                    <w:rPr>
                      <w:b/>
                      <w:bCs/>
                      <w:color w:val="auto"/>
                      <w:szCs w:val="21"/>
                    </w:rPr>
                  </w:pPr>
                  <w:r>
                    <w:rPr>
                      <w:rFonts w:hint="eastAsia"/>
                      <w:b/>
                      <w:bCs/>
                      <w:color w:val="auto"/>
                      <w:szCs w:val="21"/>
                    </w:rPr>
                    <w:t>监测频次</w:t>
                  </w:r>
                </w:p>
              </w:tc>
              <w:tc>
                <w:tcPr>
                  <w:tcW w:w="1473" w:type="pct"/>
                  <w:noWrap w:val="0"/>
                  <w:vAlign w:val="center"/>
                </w:tcPr>
                <w:p>
                  <w:pPr>
                    <w:jc w:val="center"/>
                    <w:rPr>
                      <w:b/>
                      <w:bCs/>
                      <w:color w:val="auto"/>
                      <w:szCs w:val="21"/>
                    </w:rPr>
                  </w:pPr>
                  <w:r>
                    <w:rPr>
                      <w:rFonts w:hint="eastAsia"/>
                      <w:b/>
                      <w:bCs/>
                      <w:color w:val="auto"/>
                      <w:szCs w:val="21"/>
                    </w:rPr>
                    <w:t>控制标准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 w:type="pct"/>
                  <w:vMerge w:val="restart"/>
                  <w:noWrap w:val="0"/>
                  <w:vAlign w:val="center"/>
                </w:tcPr>
                <w:p>
                  <w:pPr>
                    <w:jc w:val="center"/>
                    <w:rPr>
                      <w:color w:val="auto"/>
                      <w:szCs w:val="21"/>
                    </w:rPr>
                  </w:pPr>
                  <w:r>
                    <w:rPr>
                      <w:rFonts w:hint="eastAsia"/>
                      <w:color w:val="auto"/>
                      <w:szCs w:val="21"/>
                    </w:rPr>
                    <w:t>噪声</w:t>
                  </w:r>
                </w:p>
              </w:tc>
              <w:tc>
                <w:tcPr>
                  <w:tcW w:w="704" w:type="pct"/>
                  <w:noWrap w:val="0"/>
                  <w:vAlign w:val="center"/>
                </w:tcPr>
                <w:p>
                  <w:pPr>
                    <w:jc w:val="center"/>
                    <w:rPr>
                      <w:color w:val="auto"/>
                      <w:szCs w:val="21"/>
                    </w:rPr>
                  </w:pPr>
                  <w:r>
                    <w:rPr>
                      <w:rFonts w:hint="eastAsia"/>
                      <w:color w:val="auto"/>
                      <w:szCs w:val="21"/>
                    </w:rPr>
                    <w:t>厂界</w:t>
                  </w:r>
                </w:p>
              </w:tc>
              <w:tc>
                <w:tcPr>
                  <w:tcW w:w="832" w:type="pct"/>
                  <w:noWrap w:val="0"/>
                  <w:vAlign w:val="center"/>
                </w:tcPr>
                <w:p>
                  <w:pPr>
                    <w:jc w:val="center"/>
                    <w:rPr>
                      <w:color w:val="auto"/>
                      <w:szCs w:val="21"/>
                    </w:rPr>
                  </w:pPr>
                  <w:r>
                    <w:rPr>
                      <w:color w:val="auto"/>
                      <w:szCs w:val="21"/>
                    </w:rPr>
                    <w:t>Leq[dB(A)]</w:t>
                  </w:r>
                </w:p>
              </w:tc>
              <w:tc>
                <w:tcPr>
                  <w:tcW w:w="850" w:type="pct"/>
                  <w:noWrap w:val="0"/>
                  <w:vAlign w:val="center"/>
                </w:tcPr>
                <w:p>
                  <w:pPr>
                    <w:jc w:val="center"/>
                    <w:rPr>
                      <w:rFonts w:hint="eastAsia"/>
                      <w:color w:val="auto"/>
                      <w:szCs w:val="21"/>
                    </w:rPr>
                  </w:pPr>
                  <w:r>
                    <w:rPr>
                      <w:rFonts w:hint="eastAsia"/>
                      <w:color w:val="auto"/>
                      <w:szCs w:val="21"/>
                    </w:rPr>
                    <w:t>西侧、东侧各设置1个监测点位</w:t>
                  </w:r>
                </w:p>
              </w:tc>
              <w:tc>
                <w:tcPr>
                  <w:tcW w:w="712" w:type="pct"/>
                  <w:noWrap w:val="0"/>
                  <w:vAlign w:val="center"/>
                </w:tcPr>
                <w:p>
                  <w:pPr>
                    <w:jc w:val="center"/>
                    <w:rPr>
                      <w:color w:val="auto"/>
                      <w:szCs w:val="21"/>
                    </w:rPr>
                  </w:pPr>
                  <w:r>
                    <w:rPr>
                      <w:rFonts w:hint="eastAsia"/>
                      <w:color w:val="auto"/>
                      <w:szCs w:val="21"/>
                    </w:rPr>
                    <w:t>1次/季度</w:t>
                  </w:r>
                </w:p>
              </w:tc>
              <w:tc>
                <w:tcPr>
                  <w:tcW w:w="1473" w:type="pct"/>
                  <w:noWrap w:val="0"/>
                  <w:vAlign w:val="center"/>
                </w:tcPr>
                <w:p>
                  <w:pPr>
                    <w:jc w:val="center"/>
                    <w:rPr>
                      <w:color w:val="auto"/>
                      <w:szCs w:val="21"/>
                    </w:rPr>
                  </w:pPr>
                  <w:r>
                    <w:rPr>
                      <w:bCs/>
                      <w:snapToGrid w:val="0"/>
                      <w:color w:val="auto"/>
                      <w:kern w:val="0"/>
                      <w:szCs w:val="21"/>
                      <w:lang w:val="en-GB"/>
                    </w:rPr>
                    <w:t>《工业企业厂界环境噪声排放标准》（GB12348</w:t>
                  </w:r>
                  <w:r>
                    <w:rPr>
                      <w:bCs/>
                      <w:snapToGrid w:val="0"/>
                      <w:color w:val="auto"/>
                      <w:kern w:val="0"/>
                      <w:szCs w:val="21"/>
                    </w:rPr>
                    <w:t>-</w:t>
                  </w:r>
                  <w:r>
                    <w:rPr>
                      <w:bCs/>
                      <w:snapToGrid w:val="0"/>
                      <w:color w:val="auto"/>
                      <w:kern w:val="0"/>
                      <w:szCs w:val="21"/>
                      <w:lang w:val="en-GB"/>
                    </w:rPr>
                    <w:t>2008）中的</w:t>
                  </w:r>
                  <w:r>
                    <w:rPr>
                      <w:rFonts w:hint="eastAsia"/>
                      <w:bCs/>
                      <w:snapToGrid w:val="0"/>
                      <w:color w:val="auto"/>
                      <w:kern w:val="0"/>
                      <w:szCs w:val="21"/>
                      <w:lang w:val="en-US" w:eastAsia="zh-CN"/>
                    </w:rPr>
                    <w:t>1</w:t>
                  </w:r>
                  <w:r>
                    <w:rPr>
                      <w:bCs/>
                      <w:snapToGrid w:val="0"/>
                      <w:color w:val="auto"/>
                      <w:kern w:val="0"/>
                      <w:szCs w:val="21"/>
                      <w:lang w:val="en-GB"/>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 w:type="pct"/>
                  <w:vMerge w:val="continue"/>
                  <w:noWrap w:val="0"/>
                  <w:vAlign w:val="center"/>
                </w:tcPr>
                <w:p>
                  <w:pPr>
                    <w:jc w:val="center"/>
                    <w:rPr>
                      <w:rFonts w:hint="eastAsia"/>
                      <w:color w:val="auto"/>
                      <w:szCs w:val="21"/>
                    </w:rPr>
                  </w:pPr>
                </w:p>
              </w:tc>
              <w:tc>
                <w:tcPr>
                  <w:tcW w:w="704" w:type="pct"/>
                  <w:noWrap w:val="0"/>
                  <w:vAlign w:val="center"/>
                </w:tcPr>
                <w:p>
                  <w:pPr>
                    <w:jc w:val="center"/>
                    <w:rPr>
                      <w:rFonts w:hint="eastAsia"/>
                      <w:color w:val="auto"/>
                      <w:szCs w:val="21"/>
                    </w:rPr>
                  </w:pPr>
                  <w:r>
                    <w:rPr>
                      <w:rFonts w:hint="eastAsia"/>
                      <w:color w:val="auto"/>
                      <w:szCs w:val="21"/>
                    </w:rPr>
                    <w:t>厂界</w:t>
                  </w:r>
                </w:p>
              </w:tc>
              <w:tc>
                <w:tcPr>
                  <w:tcW w:w="832" w:type="pct"/>
                  <w:noWrap w:val="0"/>
                  <w:vAlign w:val="center"/>
                </w:tcPr>
                <w:p>
                  <w:pPr>
                    <w:jc w:val="center"/>
                    <w:rPr>
                      <w:color w:val="auto"/>
                      <w:szCs w:val="21"/>
                    </w:rPr>
                  </w:pPr>
                  <w:r>
                    <w:rPr>
                      <w:color w:val="auto"/>
                      <w:szCs w:val="21"/>
                    </w:rPr>
                    <w:t>Leq[dB(A)]</w:t>
                  </w:r>
                </w:p>
              </w:tc>
              <w:tc>
                <w:tcPr>
                  <w:tcW w:w="850" w:type="pct"/>
                  <w:noWrap w:val="0"/>
                  <w:vAlign w:val="center"/>
                </w:tcPr>
                <w:p>
                  <w:pPr>
                    <w:jc w:val="center"/>
                    <w:rPr>
                      <w:rFonts w:hint="eastAsia"/>
                      <w:color w:val="auto"/>
                      <w:szCs w:val="21"/>
                    </w:rPr>
                  </w:pPr>
                  <w:r>
                    <w:rPr>
                      <w:rFonts w:hint="eastAsia"/>
                      <w:color w:val="auto"/>
                      <w:szCs w:val="21"/>
                    </w:rPr>
                    <w:t>南侧设置1个监测点位</w:t>
                  </w:r>
                </w:p>
              </w:tc>
              <w:tc>
                <w:tcPr>
                  <w:tcW w:w="712" w:type="pct"/>
                  <w:noWrap w:val="0"/>
                  <w:vAlign w:val="center"/>
                </w:tcPr>
                <w:p>
                  <w:pPr>
                    <w:jc w:val="center"/>
                    <w:rPr>
                      <w:rFonts w:hint="eastAsia"/>
                      <w:color w:val="auto"/>
                      <w:szCs w:val="21"/>
                    </w:rPr>
                  </w:pPr>
                  <w:r>
                    <w:rPr>
                      <w:rFonts w:hint="eastAsia"/>
                      <w:color w:val="auto"/>
                      <w:szCs w:val="21"/>
                    </w:rPr>
                    <w:t>1次/季度</w:t>
                  </w:r>
                </w:p>
              </w:tc>
              <w:tc>
                <w:tcPr>
                  <w:tcW w:w="1473" w:type="pct"/>
                  <w:noWrap w:val="0"/>
                  <w:vAlign w:val="center"/>
                </w:tcPr>
                <w:p>
                  <w:pPr>
                    <w:jc w:val="center"/>
                    <w:rPr>
                      <w:bCs/>
                      <w:snapToGrid w:val="0"/>
                      <w:color w:val="auto"/>
                      <w:kern w:val="0"/>
                      <w:szCs w:val="21"/>
                      <w:lang w:val="en-GB"/>
                    </w:rPr>
                  </w:pPr>
                  <w:r>
                    <w:rPr>
                      <w:bCs/>
                      <w:snapToGrid w:val="0"/>
                      <w:color w:val="auto"/>
                      <w:kern w:val="0"/>
                      <w:szCs w:val="21"/>
                      <w:lang w:val="en-GB"/>
                    </w:rPr>
                    <w:t>《工业企业厂界环境噪声排放标准》（GB12348</w:t>
                  </w:r>
                  <w:r>
                    <w:rPr>
                      <w:bCs/>
                      <w:snapToGrid w:val="0"/>
                      <w:color w:val="auto"/>
                      <w:kern w:val="0"/>
                      <w:szCs w:val="21"/>
                    </w:rPr>
                    <w:t>-</w:t>
                  </w:r>
                  <w:r>
                    <w:rPr>
                      <w:bCs/>
                      <w:snapToGrid w:val="0"/>
                      <w:color w:val="auto"/>
                      <w:kern w:val="0"/>
                      <w:szCs w:val="21"/>
                      <w:lang w:val="en-GB"/>
                    </w:rPr>
                    <w:t>2008）中的</w:t>
                  </w:r>
                  <w:r>
                    <w:rPr>
                      <w:rFonts w:hint="eastAsia"/>
                      <w:bCs/>
                      <w:snapToGrid w:val="0"/>
                      <w:color w:val="auto"/>
                      <w:kern w:val="0"/>
                      <w:szCs w:val="21"/>
                    </w:rPr>
                    <w:t>4</w:t>
                  </w:r>
                  <w:r>
                    <w:rPr>
                      <w:bCs/>
                      <w:snapToGrid w:val="0"/>
                      <w:color w:val="auto"/>
                      <w:kern w:val="0"/>
                      <w:szCs w:val="21"/>
                      <w:lang w:val="en-GB"/>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 w:type="pct"/>
                  <w:vMerge w:val="continue"/>
                  <w:noWrap w:val="0"/>
                  <w:vAlign w:val="center"/>
                </w:tcPr>
                <w:p>
                  <w:pPr>
                    <w:jc w:val="center"/>
                    <w:rPr>
                      <w:rFonts w:hint="eastAsia"/>
                      <w:color w:val="auto"/>
                      <w:szCs w:val="21"/>
                    </w:rPr>
                  </w:pPr>
                </w:p>
              </w:tc>
              <w:tc>
                <w:tcPr>
                  <w:tcW w:w="704" w:type="pct"/>
                  <w:noWrap w:val="0"/>
                  <w:vAlign w:val="center"/>
                </w:tcPr>
                <w:p>
                  <w:pPr>
                    <w:jc w:val="center"/>
                    <w:rPr>
                      <w:rFonts w:hint="eastAsia"/>
                      <w:color w:val="auto"/>
                      <w:szCs w:val="21"/>
                    </w:rPr>
                  </w:pPr>
                  <w:r>
                    <w:rPr>
                      <w:rFonts w:hint="eastAsia"/>
                      <w:color w:val="auto"/>
                      <w:szCs w:val="21"/>
                    </w:rPr>
                    <w:t>四周敏感点</w:t>
                  </w:r>
                </w:p>
              </w:tc>
              <w:tc>
                <w:tcPr>
                  <w:tcW w:w="832" w:type="pct"/>
                  <w:noWrap w:val="0"/>
                  <w:vAlign w:val="center"/>
                </w:tcPr>
                <w:p>
                  <w:pPr>
                    <w:jc w:val="center"/>
                    <w:rPr>
                      <w:color w:val="auto"/>
                      <w:szCs w:val="21"/>
                    </w:rPr>
                  </w:pPr>
                  <w:r>
                    <w:rPr>
                      <w:color w:val="auto"/>
                      <w:szCs w:val="21"/>
                    </w:rPr>
                    <w:t>Leq[dB(A)]</w:t>
                  </w:r>
                </w:p>
              </w:tc>
              <w:tc>
                <w:tcPr>
                  <w:tcW w:w="850" w:type="pct"/>
                  <w:noWrap w:val="0"/>
                  <w:vAlign w:val="center"/>
                </w:tcPr>
                <w:p>
                  <w:pPr>
                    <w:jc w:val="center"/>
                    <w:rPr>
                      <w:color w:val="auto"/>
                      <w:szCs w:val="21"/>
                    </w:rPr>
                  </w:pPr>
                  <w:r>
                    <w:rPr>
                      <w:rFonts w:hint="eastAsia"/>
                      <w:color w:val="auto"/>
                      <w:szCs w:val="21"/>
                      <w:lang w:val="en-US" w:eastAsia="zh-CN"/>
                    </w:rPr>
                    <w:t>上和城1栋及4号楼</w:t>
                  </w:r>
                  <w:r>
                    <w:rPr>
                      <w:rFonts w:hint="eastAsia"/>
                      <w:color w:val="auto"/>
                      <w:szCs w:val="21"/>
                    </w:rPr>
                    <w:t>各设置1个监测点位</w:t>
                  </w:r>
                </w:p>
              </w:tc>
              <w:tc>
                <w:tcPr>
                  <w:tcW w:w="712" w:type="pct"/>
                  <w:noWrap w:val="0"/>
                  <w:vAlign w:val="center"/>
                </w:tcPr>
                <w:p>
                  <w:pPr>
                    <w:jc w:val="center"/>
                    <w:rPr>
                      <w:rFonts w:hint="eastAsia"/>
                      <w:color w:val="auto"/>
                      <w:szCs w:val="21"/>
                    </w:rPr>
                  </w:pPr>
                  <w:r>
                    <w:rPr>
                      <w:rFonts w:hint="eastAsia"/>
                      <w:color w:val="auto"/>
                      <w:szCs w:val="21"/>
                    </w:rPr>
                    <w:t>1次/季度</w:t>
                  </w:r>
                </w:p>
              </w:tc>
              <w:tc>
                <w:tcPr>
                  <w:tcW w:w="1473" w:type="pct"/>
                  <w:noWrap w:val="0"/>
                  <w:vAlign w:val="center"/>
                </w:tcPr>
                <w:p>
                  <w:pPr>
                    <w:jc w:val="center"/>
                    <w:rPr>
                      <w:rFonts w:hint="eastAsia"/>
                      <w:color w:val="auto"/>
                      <w:szCs w:val="21"/>
                    </w:rPr>
                  </w:pPr>
                  <w:r>
                    <w:rPr>
                      <w:rFonts w:hint="eastAsia"/>
                      <w:color w:val="auto"/>
                      <w:szCs w:val="21"/>
                    </w:rPr>
                    <w:t>《</w:t>
                  </w:r>
                  <w:r>
                    <w:rPr>
                      <w:bCs/>
                      <w:snapToGrid w:val="0"/>
                      <w:color w:val="auto"/>
                      <w:kern w:val="0"/>
                      <w:szCs w:val="21"/>
                      <w:lang w:val="en-GB"/>
                    </w:rPr>
                    <w:t>声环境质量标准》（GB3096-2008）</w:t>
                  </w:r>
                  <w:r>
                    <w:rPr>
                      <w:rFonts w:hint="eastAsia"/>
                      <w:bCs/>
                      <w:snapToGrid w:val="0"/>
                      <w:color w:val="auto"/>
                      <w:kern w:val="0"/>
                      <w:szCs w:val="21"/>
                      <w:lang w:val="en-US" w:eastAsia="zh-CN"/>
                    </w:rPr>
                    <w:t>1</w:t>
                  </w:r>
                  <w:r>
                    <w:rPr>
                      <w:bCs/>
                      <w:snapToGrid w:val="0"/>
                      <w:color w:val="auto"/>
                      <w:kern w:val="0"/>
                      <w:szCs w:val="21"/>
                      <w:lang w:val="en-GB"/>
                    </w:rPr>
                    <w:t>类标准</w:t>
                  </w:r>
                </w:p>
              </w:tc>
            </w:tr>
          </w:tbl>
          <w:p>
            <w:pPr>
              <w:spacing w:line="360" w:lineRule="auto"/>
              <w:ind w:firstLine="482" w:firstLineChars="200"/>
              <w:rPr>
                <w:b/>
                <w:bCs/>
                <w:color w:val="auto"/>
                <w:sz w:val="24"/>
                <w:szCs w:val="24"/>
              </w:rPr>
            </w:pPr>
            <w:r>
              <w:rPr>
                <w:b/>
                <w:bCs/>
                <w:color w:val="auto"/>
                <w:sz w:val="24"/>
                <w:szCs w:val="24"/>
              </w:rPr>
              <w:t>4、固体废弃物</w:t>
            </w:r>
          </w:p>
          <w:p>
            <w:pPr>
              <w:autoSpaceDE w:val="0"/>
              <w:autoSpaceDN w:val="0"/>
              <w:adjustRightInd w:val="0"/>
              <w:spacing w:line="360" w:lineRule="auto"/>
              <w:ind w:firstLine="480" w:firstLineChars="200"/>
              <w:rPr>
                <w:color w:val="auto"/>
                <w:sz w:val="24"/>
                <w:szCs w:val="24"/>
              </w:rPr>
            </w:pPr>
            <w:r>
              <w:rPr>
                <w:color w:val="auto"/>
                <w:sz w:val="24"/>
                <w:szCs w:val="24"/>
              </w:rPr>
              <w:t>（1）产生环节、名称、属性</w:t>
            </w:r>
          </w:p>
          <w:p>
            <w:pPr>
              <w:autoSpaceDE w:val="0"/>
              <w:autoSpaceDN w:val="0"/>
              <w:adjustRightInd w:val="0"/>
              <w:spacing w:line="360" w:lineRule="auto"/>
              <w:ind w:firstLine="480" w:firstLineChars="200"/>
              <w:rPr>
                <w:bCs/>
                <w:color w:val="auto"/>
                <w:sz w:val="24"/>
                <w:szCs w:val="24"/>
              </w:rPr>
            </w:pPr>
            <w:r>
              <w:rPr>
                <w:bCs/>
                <w:color w:val="auto"/>
                <w:sz w:val="24"/>
                <w:szCs w:val="24"/>
              </w:rPr>
              <w:t>生活垃圾：医院日常运营过程中</w:t>
            </w:r>
            <w:r>
              <w:rPr>
                <w:color w:val="auto"/>
                <w:sz w:val="24"/>
                <w:szCs w:val="24"/>
              </w:rPr>
              <w:t>医护人员、门诊及</w:t>
            </w:r>
            <w:r>
              <w:rPr>
                <w:rFonts w:hint="eastAsia"/>
                <w:color w:val="auto"/>
                <w:sz w:val="24"/>
                <w:szCs w:val="24"/>
              </w:rPr>
              <w:t>住院</w:t>
            </w:r>
            <w:r>
              <w:rPr>
                <w:color w:val="auto"/>
                <w:sz w:val="24"/>
                <w:szCs w:val="24"/>
              </w:rPr>
              <w:t>人员</w:t>
            </w:r>
            <w:r>
              <w:rPr>
                <w:bCs/>
                <w:color w:val="auto"/>
                <w:sz w:val="24"/>
                <w:szCs w:val="24"/>
              </w:rPr>
              <w:t>会产生生活垃圾，属于一般</w:t>
            </w:r>
            <w:r>
              <w:rPr>
                <w:rFonts w:hint="eastAsia"/>
                <w:bCs/>
                <w:color w:val="auto"/>
                <w:sz w:val="24"/>
                <w:szCs w:val="24"/>
                <w:lang w:val="en-US" w:eastAsia="zh-CN"/>
              </w:rPr>
              <w:t>固体</w:t>
            </w:r>
            <w:r>
              <w:rPr>
                <w:bCs/>
                <w:color w:val="auto"/>
                <w:sz w:val="24"/>
                <w:szCs w:val="24"/>
              </w:rPr>
              <w:t>废物。</w:t>
            </w:r>
          </w:p>
          <w:p>
            <w:pPr>
              <w:spacing w:line="360" w:lineRule="auto"/>
              <w:ind w:firstLine="480" w:firstLineChars="200"/>
              <w:rPr>
                <w:rFonts w:hint="default"/>
                <w:bCs/>
                <w:color w:val="auto"/>
                <w:sz w:val="24"/>
                <w:szCs w:val="24"/>
                <w:lang w:val="en-US" w:eastAsia="zh-CN"/>
              </w:rPr>
            </w:pPr>
            <w:r>
              <w:rPr>
                <w:rFonts w:hint="eastAsia"/>
                <w:bCs/>
                <w:color w:val="auto"/>
                <w:sz w:val="24"/>
                <w:szCs w:val="24"/>
                <w:lang w:val="en-US" w:eastAsia="zh-CN"/>
              </w:rPr>
              <w:t>餐厨垃圾：项目食堂运营过程中会产生处于垃圾，属于一般固体废物，交由有资质单位收集处置。</w:t>
            </w:r>
          </w:p>
          <w:p>
            <w:pPr>
              <w:spacing w:line="360" w:lineRule="auto"/>
              <w:ind w:firstLine="480" w:firstLineChars="200"/>
              <w:rPr>
                <w:rFonts w:hint="default" w:eastAsia="宋体"/>
                <w:bCs/>
                <w:color w:val="auto"/>
                <w:sz w:val="24"/>
                <w:szCs w:val="24"/>
                <w:lang w:val="en-US" w:eastAsia="zh-CN"/>
              </w:rPr>
            </w:pPr>
            <w:r>
              <w:rPr>
                <w:rFonts w:hint="eastAsia"/>
                <w:bCs/>
                <w:color w:val="auto"/>
                <w:sz w:val="24"/>
                <w:szCs w:val="24"/>
                <w:lang w:val="en-US" w:eastAsia="zh-CN"/>
              </w:rPr>
              <w:t>隔油池废油脂：项目食堂设置隔油池对食堂废水进行预处理，产生的隔油池废油脂定期清理，属于一般固体废物，定期交由有资质单位处置。</w:t>
            </w:r>
          </w:p>
          <w:p>
            <w:pPr>
              <w:spacing w:line="360" w:lineRule="auto"/>
              <w:ind w:firstLine="480" w:firstLineChars="200"/>
              <w:rPr>
                <w:rFonts w:hint="default" w:eastAsia="宋体"/>
                <w:bCs/>
                <w:color w:val="auto"/>
                <w:sz w:val="24"/>
                <w:szCs w:val="24"/>
                <w:lang w:val="en-US" w:eastAsia="zh-CN"/>
              </w:rPr>
            </w:pPr>
            <w:r>
              <w:rPr>
                <w:rFonts w:hint="eastAsia"/>
                <w:bCs/>
                <w:color w:val="auto"/>
                <w:sz w:val="24"/>
                <w:szCs w:val="24"/>
                <w:lang w:val="en-US" w:eastAsia="zh-CN"/>
              </w:rPr>
              <w:t>医患被服：医院日常运营过程中医护人员</w:t>
            </w:r>
            <w:r>
              <w:rPr>
                <w:color w:val="auto"/>
                <w:sz w:val="24"/>
                <w:szCs w:val="24"/>
              </w:rPr>
              <w:t>及</w:t>
            </w:r>
            <w:r>
              <w:rPr>
                <w:rFonts w:hint="eastAsia"/>
                <w:color w:val="auto"/>
                <w:sz w:val="24"/>
                <w:szCs w:val="24"/>
              </w:rPr>
              <w:t>住院</w:t>
            </w:r>
            <w:r>
              <w:rPr>
                <w:color w:val="auto"/>
                <w:sz w:val="24"/>
                <w:szCs w:val="24"/>
              </w:rPr>
              <w:t>人员</w:t>
            </w:r>
            <w:r>
              <w:rPr>
                <w:rFonts w:hint="eastAsia"/>
                <w:color w:val="auto"/>
                <w:sz w:val="24"/>
                <w:szCs w:val="24"/>
                <w:lang w:val="en-US" w:eastAsia="zh-CN"/>
              </w:rPr>
              <w:t>会产生使用过的床单、被子、病服和医护服等，交由专业机构清洗、消毒后回用。</w:t>
            </w:r>
          </w:p>
          <w:p>
            <w:pPr>
              <w:spacing w:line="360" w:lineRule="auto"/>
              <w:ind w:firstLine="480" w:firstLineChars="200"/>
              <w:rPr>
                <w:color w:val="auto"/>
                <w:sz w:val="24"/>
                <w:szCs w:val="24"/>
              </w:rPr>
            </w:pPr>
            <w:r>
              <w:rPr>
                <w:bCs/>
                <w:color w:val="auto"/>
                <w:sz w:val="24"/>
                <w:szCs w:val="24"/>
              </w:rPr>
              <w:t>医疗废物：</w:t>
            </w:r>
            <w:r>
              <w:rPr>
                <w:color w:val="auto"/>
                <w:sz w:val="24"/>
                <w:szCs w:val="24"/>
              </w:rPr>
              <w:t>项目实施后检验科废液和一次冲洗废水仍作为感染性废物处置，检验科一次性试管作为损伤性废物处置。产生的危险废物主要有：</w:t>
            </w:r>
          </w:p>
          <w:p>
            <w:pPr>
              <w:spacing w:line="360" w:lineRule="auto"/>
              <w:ind w:firstLine="480" w:firstLineChars="200"/>
              <w:rPr>
                <w:color w:val="auto"/>
                <w:sz w:val="24"/>
                <w:szCs w:val="24"/>
              </w:rPr>
            </w:pPr>
            <w:r>
              <w:rPr>
                <w:color w:val="auto"/>
                <w:sz w:val="24"/>
                <w:szCs w:val="24"/>
              </w:rPr>
              <w:t>①化学性废物（感染性废物）</w:t>
            </w:r>
          </w:p>
          <w:p>
            <w:pPr>
              <w:spacing w:line="360" w:lineRule="auto"/>
              <w:ind w:firstLine="480" w:firstLineChars="200"/>
              <w:rPr>
                <w:color w:val="auto"/>
                <w:sz w:val="24"/>
                <w:szCs w:val="24"/>
              </w:rPr>
            </w:pPr>
            <w:r>
              <w:rPr>
                <w:color w:val="auto"/>
                <w:sz w:val="24"/>
                <w:szCs w:val="24"/>
              </w:rPr>
              <w:t>来自诊断、清洁与消毒及检验科，有危害的化学废物是指具有毒性、腐蚀性、易燃易爆等特性的物质，具体如下：</w:t>
            </w:r>
          </w:p>
          <w:p>
            <w:pPr>
              <w:spacing w:line="360" w:lineRule="auto"/>
              <w:ind w:firstLine="480" w:firstLineChars="200"/>
              <w:rPr>
                <w:color w:val="auto"/>
                <w:sz w:val="24"/>
                <w:szCs w:val="24"/>
              </w:rPr>
            </w:pPr>
            <w:r>
              <w:rPr>
                <w:color w:val="auto"/>
                <w:sz w:val="24"/>
                <w:szCs w:val="24"/>
              </w:rPr>
              <w:t>（ⅰ）酸碱类废液；</w:t>
            </w:r>
          </w:p>
          <w:p>
            <w:pPr>
              <w:spacing w:line="360" w:lineRule="auto"/>
              <w:ind w:firstLine="480" w:firstLineChars="200"/>
              <w:rPr>
                <w:color w:val="auto"/>
                <w:sz w:val="24"/>
                <w:szCs w:val="24"/>
              </w:rPr>
            </w:pPr>
            <w:r>
              <w:rPr>
                <w:color w:val="auto"/>
                <w:sz w:val="24"/>
                <w:szCs w:val="24"/>
              </w:rPr>
              <w:t>（ⅱ）有机溶剂类废液，如氯仿、已烷、醇、异丙醇、甲醇、丙酮等；</w:t>
            </w:r>
          </w:p>
          <w:p>
            <w:pPr>
              <w:spacing w:line="360" w:lineRule="auto"/>
              <w:ind w:firstLine="480" w:firstLineChars="200"/>
              <w:rPr>
                <w:color w:val="auto"/>
                <w:sz w:val="24"/>
                <w:szCs w:val="24"/>
              </w:rPr>
            </w:pPr>
            <w:r>
              <w:rPr>
                <w:color w:val="auto"/>
                <w:sz w:val="24"/>
                <w:szCs w:val="24"/>
              </w:rPr>
              <w:t>（ⅲ）消毒剂、清洁剂及废油清洗剂等。</w:t>
            </w:r>
          </w:p>
          <w:p>
            <w:pPr>
              <w:spacing w:line="360" w:lineRule="auto"/>
              <w:ind w:firstLine="480" w:firstLineChars="200"/>
              <w:rPr>
                <w:color w:val="auto"/>
                <w:sz w:val="24"/>
                <w:szCs w:val="24"/>
              </w:rPr>
            </w:pPr>
            <w:r>
              <w:rPr>
                <w:color w:val="auto"/>
                <w:sz w:val="24"/>
                <w:szCs w:val="24"/>
              </w:rPr>
              <w:t>②锐器（损伤性废物）</w:t>
            </w:r>
          </w:p>
          <w:p>
            <w:pPr>
              <w:spacing w:line="360" w:lineRule="auto"/>
              <w:ind w:firstLine="480" w:firstLineChars="200"/>
              <w:rPr>
                <w:color w:val="auto"/>
                <w:sz w:val="24"/>
                <w:szCs w:val="24"/>
              </w:rPr>
            </w:pPr>
            <w:r>
              <w:rPr>
                <w:color w:val="auto"/>
                <w:sz w:val="24"/>
                <w:szCs w:val="24"/>
              </w:rPr>
              <w:t>主要是用过废弃的或一次性的注射器、针头、玻璃、锯片及其他可能引起切伤刺伤的器物。</w:t>
            </w:r>
          </w:p>
          <w:p>
            <w:pPr>
              <w:spacing w:line="360" w:lineRule="auto"/>
              <w:ind w:firstLine="480" w:firstLineChars="200"/>
              <w:rPr>
                <w:color w:val="auto"/>
                <w:sz w:val="24"/>
                <w:szCs w:val="24"/>
              </w:rPr>
            </w:pPr>
            <w:r>
              <w:rPr>
                <w:color w:val="auto"/>
                <w:sz w:val="24"/>
                <w:szCs w:val="24"/>
              </w:rPr>
              <w:t>③药物废物</w:t>
            </w:r>
          </w:p>
          <w:p>
            <w:pPr>
              <w:autoSpaceDE w:val="0"/>
              <w:autoSpaceDN w:val="0"/>
              <w:adjustRightInd w:val="0"/>
              <w:spacing w:line="360" w:lineRule="auto"/>
              <w:ind w:firstLine="480" w:firstLineChars="200"/>
              <w:rPr>
                <w:bCs/>
                <w:color w:val="auto"/>
                <w:sz w:val="24"/>
                <w:szCs w:val="24"/>
              </w:rPr>
            </w:pPr>
            <w:r>
              <w:rPr>
                <w:color w:val="auto"/>
                <w:sz w:val="24"/>
                <w:szCs w:val="24"/>
              </w:rPr>
              <w:t>主要是医院过期的、废弃的药品、血清、从病房退回的药品和淘汰的药物等</w:t>
            </w:r>
            <w:r>
              <w:rPr>
                <w:bCs/>
                <w:color w:val="auto"/>
                <w:sz w:val="24"/>
                <w:szCs w:val="24"/>
              </w:rPr>
              <w:t>。</w:t>
            </w:r>
          </w:p>
          <w:p>
            <w:pPr>
              <w:autoSpaceDE w:val="0"/>
              <w:autoSpaceDN w:val="0"/>
              <w:adjustRightInd w:val="0"/>
              <w:spacing w:line="360" w:lineRule="auto"/>
              <w:ind w:firstLine="480" w:firstLineChars="200"/>
              <w:rPr>
                <w:rFonts w:hint="eastAsia"/>
                <w:bCs/>
                <w:color w:val="auto"/>
                <w:sz w:val="24"/>
                <w:szCs w:val="24"/>
              </w:rPr>
            </w:pPr>
            <w:r>
              <w:rPr>
                <w:bCs/>
                <w:color w:val="auto"/>
                <w:sz w:val="24"/>
                <w:szCs w:val="24"/>
              </w:rPr>
              <w:t>污水处理站污泥</w:t>
            </w:r>
            <w:r>
              <w:rPr>
                <w:rFonts w:hint="eastAsia"/>
                <w:bCs/>
                <w:color w:val="auto"/>
                <w:sz w:val="24"/>
                <w:szCs w:val="24"/>
              </w:rPr>
              <w:t>：</w:t>
            </w:r>
            <w:r>
              <w:rPr>
                <w:bCs/>
                <w:color w:val="auto"/>
                <w:sz w:val="24"/>
                <w:szCs w:val="24"/>
              </w:rPr>
              <w:t>污水处理站在运行过程中将产生污泥。根据《国家危险废物名录》（2021年版）</w:t>
            </w:r>
            <w:r>
              <w:rPr>
                <w:rFonts w:hint="eastAsia"/>
                <w:bCs/>
                <w:color w:val="auto"/>
                <w:sz w:val="24"/>
                <w:szCs w:val="24"/>
              </w:rPr>
              <w:t>，</w:t>
            </w:r>
            <w:r>
              <w:rPr>
                <w:bCs/>
                <w:color w:val="auto"/>
                <w:sz w:val="24"/>
                <w:szCs w:val="24"/>
              </w:rPr>
              <w:t>污水处理站污泥属于危险废物</w:t>
            </w:r>
            <w:r>
              <w:rPr>
                <w:rFonts w:hint="eastAsia"/>
                <w:bCs/>
                <w:color w:val="auto"/>
                <w:sz w:val="24"/>
                <w:szCs w:val="24"/>
              </w:rPr>
              <w:t>，</w:t>
            </w:r>
            <w:r>
              <w:rPr>
                <w:bCs/>
                <w:color w:val="auto"/>
                <w:sz w:val="24"/>
                <w:szCs w:val="24"/>
              </w:rPr>
              <w:t>废物类别为HW01</w:t>
            </w:r>
            <w:r>
              <w:rPr>
                <w:rFonts w:hint="eastAsia"/>
                <w:bCs/>
                <w:color w:val="auto"/>
                <w:sz w:val="24"/>
                <w:szCs w:val="24"/>
              </w:rPr>
              <w:t>，</w:t>
            </w:r>
            <w:r>
              <w:rPr>
                <w:bCs/>
                <w:color w:val="auto"/>
                <w:sz w:val="24"/>
                <w:szCs w:val="24"/>
              </w:rPr>
              <w:t>危险废物代码为8</w:t>
            </w:r>
            <w:r>
              <w:rPr>
                <w:rFonts w:hint="eastAsia"/>
                <w:bCs/>
                <w:color w:val="auto"/>
                <w:sz w:val="24"/>
                <w:szCs w:val="24"/>
              </w:rPr>
              <w:t>4</w:t>
            </w:r>
            <w:r>
              <w:rPr>
                <w:bCs/>
                <w:color w:val="auto"/>
                <w:sz w:val="24"/>
                <w:szCs w:val="24"/>
              </w:rPr>
              <w:t>1-001-01</w:t>
            </w:r>
            <w:r>
              <w:rPr>
                <w:rFonts w:hint="eastAsia"/>
                <w:bCs/>
                <w:color w:val="auto"/>
                <w:sz w:val="24"/>
                <w:szCs w:val="24"/>
              </w:rPr>
              <w:t>。</w:t>
            </w:r>
          </w:p>
          <w:p>
            <w:pPr>
              <w:autoSpaceDE w:val="0"/>
              <w:autoSpaceDN w:val="0"/>
              <w:adjustRightInd w:val="0"/>
              <w:spacing w:line="360" w:lineRule="auto"/>
              <w:ind w:firstLine="480" w:firstLineChars="200"/>
              <w:rPr>
                <w:rFonts w:hint="eastAsia"/>
                <w:bCs/>
                <w:color w:val="auto"/>
                <w:sz w:val="24"/>
                <w:szCs w:val="24"/>
              </w:rPr>
            </w:pPr>
            <w:r>
              <w:rPr>
                <w:rFonts w:hint="eastAsia"/>
                <w:bCs/>
                <w:color w:val="auto"/>
                <w:sz w:val="24"/>
                <w:szCs w:val="24"/>
              </w:rPr>
              <w:t>输液瓶（袋）：医院运营过程中会产生输液瓶（袋），</w:t>
            </w:r>
            <w:r>
              <w:rPr>
                <w:bCs/>
                <w:color w:val="auto"/>
                <w:sz w:val="24"/>
                <w:szCs w:val="24"/>
              </w:rPr>
              <w:t>属于一般废物</w:t>
            </w:r>
            <w:r>
              <w:rPr>
                <w:rFonts w:hint="eastAsia"/>
                <w:bCs/>
                <w:color w:val="auto"/>
                <w:sz w:val="24"/>
                <w:szCs w:val="24"/>
              </w:rPr>
              <w:t>。</w:t>
            </w:r>
          </w:p>
          <w:p>
            <w:pPr>
              <w:autoSpaceDE w:val="0"/>
              <w:autoSpaceDN w:val="0"/>
              <w:adjustRightInd w:val="0"/>
              <w:spacing w:line="360" w:lineRule="auto"/>
              <w:ind w:firstLine="480" w:firstLineChars="200"/>
              <w:rPr>
                <w:color w:val="auto"/>
                <w:sz w:val="24"/>
                <w:szCs w:val="24"/>
              </w:rPr>
            </w:pPr>
            <w:r>
              <w:rPr>
                <w:color w:val="auto"/>
                <w:sz w:val="24"/>
                <w:szCs w:val="24"/>
              </w:rPr>
              <w:t>（</w:t>
            </w:r>
            <w:r>
              <w:rPr>
                <w:rFonts w:hint="eastAsia"/>
                <w:color w:val="auto"/>
                <w:sz w:val="24"/>
                <w:szCs w:val="24"/>
              </w:rPr>
              <w:t>2</w:t>
            </w:r>
            <w:r>
              <w:rPr>
                <w:color w:val="auto"/>
                <w:sz w:val="24"/>
                <w:szCs w:val="24"/>
              </w:rPr>
              <w:t>）利用处置方式和去向、利用或处置量</w:t>
            </w:r>
          </w:p>
          <w:p>
            <w:pPr>
              <w:spacing w:line="360" w:lineRule="auto"/>
              <w:ind w:firstLine="480" w:firstLineChars="200"/>
              <w:rPr>
                <w:color w:val="auto"/>
                <w:sz w:val="24"/>
                <w:szCs w:val="24"/>
              </w:rPr>
            </w:pPr>
            <w:r>
              <w:rPr>
                <w:bCs/>
                <w:color w:val="auto"/>
                <w:sz w:val="24"/>
                <w:szCs w:val="24"/>
              </w:rPr>
              <w:fldChar w:fldCharType="begin"/>
            </w:r>
            <w:r>
              <w:rPr>
                <w:bCs/>
                <w:color w:val="auto"/>
                <w:sz w:val="24"/>
                <w:szCs w:val="24"/>
              </w:rPr>
              <w:instrText xml:space="preserve"> = 1 \* GB3 \* MERGEFORMAT </w:instrText>
            </w:r>
            <w:r>
              <w:rPr>
                <w:bCs/>
                <w:color w:val="auto"/>
                <w:sz w:val="24"/>
                <w:szCs w:val="24"/>
              </w:rPr>
              <w:fldChar w:fldCharType="separate"/>
            </w:r>
            <w:r>
              <w:rPr>
                <w:color w:val="auto"/>
                <w:sz w:val="24"/>
                <w:szCs w:val="24"/>
              </w:rPr>
              <w:t>①</w:t>
            </w:r>
            <w:r>
              <w:rPr>
                <w:bCs/>
                <w:color w:val="auto"/>
                <w:sz w:val="24"/>
                <w:szCs w:val="24"/>
              </w:rPr>
              <w:fldChar w:fldCharType="end"/>
            </w:r>
            <w:r>
              <w:rPr>
                <w:color w:val="auto"/>
                <w:sz w:val="24"/>
                <w:szCs w:val="24"/>
              </w:rPr>
              <w:t>生活垃圾：项目总工作人员</w:t>
            </w:r>
            <w:r>
              <w:rPr>
                <w:rFonts w:hint="eastAsia"/>
                <w:color w:val="auto"/>
                <w:sz w:val="24"/>
                <w:szCs w:val="24"/>
                <w:lang w:val="en-US" w:eastAsia="zh-CN"/>
              </w:rPr>
              <w:t>50</w:t>
            </w:r>
            <w:r>
              <w:rPr>
                <w:color w:val="auto"/>
                <w:sz w:val="24"/>
                <w:szCs w:val="24"/>
              </w:rPr>
              <w:t>人，设置住院床位</w:t>
            </w:r>
            <w:r>
              <w:rPr>
                <w:rFonts w:hint="eastAsia"/>
                <w:color w:val="auto"/>
                <w:sz w:val="24"/>
                <w:szCs w:val="24"/>
                <w:lang w:val="en-US" w:eastAsia="zh-CN"/>
              </w:rPr>
              <w:t>200</w:t>
            </w:r>
            <w:r>
              <w:rPr>
                <w:color w:val="auto"/>
                <w:sz w:val="24"/>
                <w:szCs w:val="24"/>
              </w:rPr>
              <w:t>个，日门诊接待病人</w:t>
            </w:r>
            <w:r>
              <w:rPr>
                <w:rFonts w:hint="eastAsia"/>
                <w:color w:val="auto"/>
                <w:sz w:val="24"/>
                <w:szCs w:val="24"/>
              </w:rPr>
              <w:t>100</w:t>
            </w:r>
            <w:r>
              <w:rPr>
                <w:color w:val="auto"/>
                <w:sz w:val="24"/>
                <w:szCs w:val="24"/>
              </w:rPr>
              <w:t>人，工作人员生活垃圾产生量按0.6kg人/d计算，</w:t>
            </w:r>
            <w:r>
              <w:rPr>
                <w:rFonts w:hint="eastAsia"/>
                <w:color w:val="auto"/>
                <w:sz w:val="24"/>
                <w:szCs w:val="24"/>
              </w:rPr>
              <w:t>住院</w:t>
            </w:r>
            <w:r>
              <w:rPr>
                <w:color w:val="auto"/>
                <w:sz w:val="24"/>
                <w:szCs w:val="24"/>
              </w:rPr>
              <w:t>病人生活垃圾按照</w:t>
            </w:r>
            <w:r>
              <w:rPr>
                <w:rFonts w:hint="eastAsia"/>
                <w:color w:val="auto"/>
                <w:sz w:val="24"/>
                <w:szCs w:val="24"/>
                <w:lang w:val="en-US" w:eastAsia="zh-CN"/>
              </w:rPr>
              <w:t>0.8</w:t>
            </w:r>
            <w:r>
              <w:rPr>
                <w:color w:val="auto"/>
                <w:sz w:val="24"/>
                <w:szCs w:val="24"/>
              </w:rPr>
              <w:t>kg人/d，门诊病人生活垃圾按照0.1kg人/d计算，计算生活垃圾产生量约为</w:t>
            </w:r>
            <w:r>
              <w:rPr>
                <w:rFonts w:hint="eastAsia"/>
                <w:color w:val="auto"/>
                <w:sz w:val="24"/>
                <w:szCs w:val="24"/>
                <w:lang w:val="en-US" w:eastAsia="zh-CN"/>
              </w:rPr>
              <w:t>200</w:t>
            </w:r>
            <w:r>
              <w:rPr>
                <w:color w:val="auto"/>
                <w:sz w:val="24"/>
                <w:szCs w:val="24"/>
              </w:rPr>
              <w:t>kg/d，</w:t>
            </w:r>
            <w:r>
              <w:rPr>
                <w:rFonts w:hint="eastAsia"/>
                <w:color w:val="auto"/>
                <w:sz w:val="24"/>
                <w:szCs w:val="24"/>
                <w:lang w:val="en-US" w:eastAsia="zh-CN"/>
              </w:rPr>
              <w:t>73</w:t>
            </w:r>
            <w:r>
              <w:rPr>
                <w:color w:val="auto"/>
                <w:sz w:val="24"/>
                <w:szCs w:val="24"/>
              </w:rPr>
              <w:t>t/a，项目运营产生的生活垃圾设垃圾桶分类收集，收集后交由环卫部门统一处理。</w:t>
            </w:r>
          </w:p>
          <w:p>
            <w:pPr>
              <w:spacing w:line="360" w:lineRule="auto"/>
              <w:ind w:firstLine="480" w:firstLineChars="200"/>
              <w:rPr>
                <w:rFonts w:hint="default" w:eastAsia="宋体"/>
                <w:color w:val="auto"/>
                <w:sz w:val="24"/>
                <w:szCs w:val="24"/>
                <w:lang w:val="en-US" w:eastAsia="zh-CN"/>
              </w:rPr>
            </w:pPr>
            <w:r>
              <w:rPr>
                <w:rFonts w:hint="eastAsia"/>
                <w:color w:val="auto"/>
                <w:sz w:val="24"/>
                <w:szCs w:val="24"/>
              </w:rPr>
              <w:t>②</w:t>
            </w:r>
            <w:r>
              <w:rPr>
                <w:rFonts w:hint="eastAsia"/>
                <w:color w:val="auto"/>
                <w:sz w:val="24"/>
                <w:szCs w:val="24"/>
                <w:lang w:val="en-US" w:eastAsia="zh-CN"/>
              </w:rPr>
              <w:t>餐厨垃圾：项目食堂面向工作人员开放，就餐人数为30人/天，餐厨垃圾产生量按0.2kg/人·次计算，餐厨垃圾产生量为6.57t/a，设置专门的餐厨垃圾收集桶收集，日产日清，交由有资质单位收集处置。</w:t>
            </w:r>
          </w:p>
          <w:p>
            <w:pPr>
              <w:spacing w:line="360" w:lineRule="auto"/>
              <w:ind w:firstLine="480" w:firstLineChars="200"/>
              <w:rPr>
                <w:rFonts w:hint="default"/>
                <w:color w:val="auto"/>
                <w:sz w:val="24"/>
                <w:szCs w:val="24"/>
                <w:lang w:val="en-US" w:eastAsia="zh-CN"/>
              </w:rPr>
            </w:pPr>
            <w:r>
              <w:rPr>
                <w:rFonts w:hint="eastAsia" w:ascii="宋体" w:hAnsi="宋体" w:eastAsia="宋体" w:cs="宋体"/>
                <w:bCs/>
                <w:color w:val="auto"/>
                <w:sz w:val="24"/>
                <w:szCs w:val="24"/>
              </w:rPr>
              <w:t>③</w:t>
            </w:r>
            <w:r>
              <w:rPr>
                <w:rFonts w:hint="eastAsia"/>
                <w:color w:val="auto"/>
                <w:sz w:val="24"/>
                <w:szCs w:val="24"/>
                <w:lang w:val="en-US" w:eastAsia="zh-CN"/>
              </w:rPr>
              <w:t>废油脂</w:t>
            </w:r>
            <w:r>
              <w:rPr>
                <w:rFonts w:hint="eastAsia"/>
                <w:color w:val="FF0000"/>
                <w:sz w:val="24"/>
                <w:szCs w:val="24"/>
                <w:lang w:val="en-US" w:eastAsia="zh-CN"/>
              </w:rPr>
              <w:t>：根据建设单位提供资料，在食堂就餐的仅为部分医院工作人员，人数为30人，根据估算，隔油池废油脂的产生量为0.12t/a；油烟净化器定期委托专业机构进行清理，会产生废油脂以及清洗废液，油烟净化器废油脂根据食用油使用量及油烟净化器收集处置效率核算，油烟净化器废油脂产生量为0.011t/a，清洗废液产生量为0.06t/a，废油脂收集后定期交由有资质的餐厨垃圾处置单位处置。</w:t>
            </w:r>
          </w:p>
          <w:p>
            <w:pPr>
              <w:spacing w:line="360" w:lineRule="auto"/>
              <w:ind w:firstLine="480" w:firstLineChars="200"/>
              <w:rPr>
                <w:color w:val="auto"/>
                <w:sz w:val="24"/>
                <w:szCs w:val="24"/>
              </w:rPr>
            </w:pPr>
            <w:r>
              <w:rPr>
                <w:rFonts w:hint="eastAsia" w:ascii="宋体" w:hAnsi="宋体" w:eastAsia="宋体" w:cs="宋体"/>
                <w:bCs/>
                <w:color w:val="FF0000"/>
                <w:sz w:val="24"/>
                <w:szCs w:val="24"/>
              </w:rPr>
              <w:t>④</w:t>
            </w:r>
            <w:r>
              <w:rPr>
                <w:rFonts w:hint="eastAsia" w:ascii="宋体" w:hAnsi="宋体" w:cs="宋体"/>
                <w:bCs/>
                <w:color w:val="auto"/>
                <w:sz w:val="24"/>
                <w:szCs w:val="24"/>
                <w:lang w:val="en-US" w:eastAsia="zh-CN"/>
              </w:rPr>
              <w:t>医患被服：</w:t>
            </w:r>
            <w:r>
              <w:rPr>
                <w:rFonts w:hint="eastAsia"/>
                <w:color w:val="auto"/>
                <w:sz w:val="24"/>
                <w:szCs w:val="24"/>
                <w:lang w:val="en-US" w:eastAsia="zh-CN"/>
              </w:rPr>
              <w:t>根据建设单位提供资料，医院日常运营过程中产生的病患被服量为2.5t/a，交由专业机构清洗消毒后回用。</w:t>
            </w:r>
          </w:p>
          <w:p>
            <w:pPr>
              <w:spacing w:line="360" w:lineRule="auto"/>
              <w:ind w:firstLine="480" w:firstLineChars="200"/>
              <w:rPr>
                <w:color w:val="auto"/>
                <w:sz w:val="24"/>
                <w:szCs w:val="24"/>
              </w:rPr>
            </w:pPr>
            <w:r>
              <w:rPr>
                <w:rFonts w:hint="eastAsia" w:ascii="宋体" w:hAnsi="宋体" w:eastAsia="宋体" w:cs="宋体"/>
                <w:color w:val="auto"/>
                <w:sz w:val="24"/>
                <w:szCs w:val="24"/>
              </w:rPr>
              <w:t>⑤</w:t>
            </w:r>
            <w:r>
              <w:rPr>
                <w:color w:val="auto"/>
                <w:sz w:val="24"/>
                <w:szCs w:val="24"/>
              </w:rPr>
              <w:t>医疗废物：根据《第二次全国污染源普查城镇生活源产排污系数手册》、《社会区域类环境影响评价》（中国环境科学出版社），门诊医疗废物按0.05kg/人·次计、病房医疗废物按0.5kg/床·d计，则门诊医疗废物产生量为</w:t>
            </w:r>
            <w:r>
              <w:rPr>
                <w:rFonts w:hint="eastAsia"/>
                <w:color w:val="auto"/>
                <w:sz w:val="24"/>
                <w:szCs w:val="24"/>
              </w:rPr>
              <w:t>5</w:t>
            </w:r>
            <w:r>
              <w:rPr>
                <w:color w:val="auto"/>
                <w:sz w:val="24"/>
                <w:szCs w:val="24"/>
              </w:rPr>
              <w:t>kg/d，病房医疗废物产生量为</w:t>
            </w:r>
            <w:r>
              <w:rPr>
                <w:rFonts w:hint="eastAsia"/>
                <w:color w:val="auto"/>
                <w:sz w:val="24"/>
                <w:szCs w:val="24"/>
                <w:lang w:val="en-US" w:eastAsia="zh-CN"/>
              </w:rPr>
              <w:t>100</w:t>
            </w:r>
            <w:r>
              <w:rPr>
                <w:color w:val="auto"/>
                <w:sz w:val="24"/>
                <w:szCs w:val="24"/>
              </w:rPr>
              <w:t>kg/d，医疗废物产生量为</w:t>
            </w:r>
            <w:r>
              <w:rPr>
                <w:rFonts w:hint="eastAsia"/>
                <w:color w:val="auto"/>
                <w:sz w:val="24"/>
                <w:szCs w:val="24"/>
                <w:lang w:val="en-US" w:eastAsia="zh-CN"/>
              </w:rPr>
              <w:t>105</w:t>
            </w:r>
            <w:r>
              <w:rPr>
                <w:color w:val="auto"/>
                <w:sz w:val="24"/>
                <w:szCs w:val="24"/>
              </w:rPr>
              <w:t>kg/d（</w:t>
            </w:r>
            <w:r>
              <w:rPr>
                <w:rFonts w:hint="eastAsia"/>
                <w:color w:val="auto"/>
                <w:sz w:val="24"/>
                <w:szCs w:val="24"/>
                <w:lang w:val="en-US" w:eastAsia="zh-CN"/>
              </w:rPr>
              <w:t>38.325</w:t>
            </w:r>
            <w:r>
              <w:rPr>
                <w:color w:val="auto"/>
                <w:sz w:val="24"/>
                <w:szCs w:val="24"/>
              </w:rPr>
              <w:t>t/a），医疗废物严格按规定收集、贮存，由有资质单位定时清运进行无害化处置</w:t>
            </w:r>
            <w:r>
              <w:rPr>
                <w:rFonts w:hint="eastAsia"/>
                <w:color w:val="auto"/>
                <w:sz w:val="24"/>
                <w:szCs w:val="24"/>
              </w:rPr>
              <w:t>。</w:t>
            </w:r>
          </w:p>
          <w:p>
            <w:pPr>
              <w:autoSpaceDE w:val="0"/>
              <w:autoSpaceDN w:val="0"/>
              <w:adjustRightInd w:val="0"/>
              <w:spacing w:line="360" w:lineRule="auto"/>
              <w:ind w:firstLine="480" w:firstLineChars="200"/>
              <w:rPr>
                <w:rFonts w:eastAsia="宋体"/>
                <w:color w:val="FF0000"/>
                <w:sz w:val="24"/>
                <w:szCs w:val="24"/>
              </w:rPr>
            </w:pPr>
            <w:r>
              <w:rPr>
                <w:rFonts w:hint="eastAsia" w:ascii="宋体" w:hAnsi="宋体" w:eastAsia="宋体" w:cs="宋体"/>
                <w:color w:val="FF0000"/>
                <w:sz w:val="24"/>
                <w:szCs w:val="24"/>
              </w:rPr>
              <w:t>⑥</w:t>
            </w:r>
            <w:r>
              <w:rPr>
                <w:bCs/>
                <w:color w:val="FF0000"/>
                <w:sz w:val="24"/>
                <w:szCs w:val="24"/>
              </w:rPr>
              <w:t>污水处理站污泥</w:t>
            </w:r>
            <w:r>
              <w:rPr>
                <w:rFonts w:hint="eastAsia"/>
                <w:bCs/>
                <w:color w:val="FF0000"/>
                <w:sz w:val="24"/>
                <w:szCs w:val="24"/>
              </w:rPr>
              <w:t>：</w:t>
            </w:r>
            <w:r>
              <w:rPr>
                <w:bCs/>
                <w:color w:val="FF0000"/>
                <w:sz w:val="24"/>
                <w:szCs w:val="24"/>
              </w:rPr>
              <w:t>污水处理站在运行过程中将产生污泥。根据《国家危险废物名录》（2021年版）</w:t>
            </w:r>
            <w:r>
              <w:rPr>
                <w:rFonts w:hint="eastAsia"/>
                <w:bCs/>
                <w:color w:val="FF0000"/>
                <w:sz w:val="24"/>
                <w:szCs w:val="24"/>
              </w:rPr>
              <w:t>，</w:t>
            </w:r>
            <w:r>
              <w:rPr>
                <w:bCs/>
                <w:color w:val="FF0000"/>
                <w:sz w:val="24"/>
                <w:szCs w:val="24"/>
              </w:rPr>
              <w:t>污水处理站污泥属于危险废物</w:t>
            </w:r>
            <w:r>
              <w:rPr>
                <w:rFonts w:hint="eastAsia"/>
                <w:bCs/>
                <w:color w:val="FF0000"/>
                <w:sz w:val="24"/>
                <w:szCs w:val="24"/>
              </w:rPr>
              <w:t>，</w:t>
            </w:r>
            <w:r>
              <w:rPr>
                <w:bCs/>
                <w:color w:val="FF0000"/>
                <w:sz w:val="24"/>
                <w:szCs w:val="24"/>
              </w:rPr>
              <w:t>废物类别为HW01</w:t>
            </w:r>
            <w:r>
              <w:rPr>
                <w:rFonts w:hint="eastAsia"/>
                <w:bCs/>
                <w:color w:val="FF0000"/>
                <w:sz w:val="24"/>
                <w:szCs w:val="24"/>
              </w:rPr>
              <w:t>，</w:t>
            </w:r>
            <w:r>
              <w:rPr>
                <w:bCs/>
                <w:color w:val="FF0000"/>
                <w:sz w:val="24"/>
                <w:szCs w:val="24"/>
              </w:rPr>
              <w:t>危险废物代码为8</w:t>
            </w:r>
            <w:r>
              <w:rPr>
                <w:rFonts w:hint="eastAsia"/>
                <w:bCs/>
                <w:color w:val="FF0000"/>
                <w:sz w:val="24"/>
                <w:szCs w:val="24"/>
              </w:rPr>
              <w:t>4</w:t>
            </w:r>
            <w:r>
              <w:rPr>
                <w:bCs/>
                <w:color w:val="FF0000"/>
                <w:sz w:val="24"/>
                <w:szCs w:val="24"/>
              </w:rPr>
              <w:t>1-001-01</w:t>
            </w:r>
            <w:r>
              <w:rPr>
                <w:rFonts w:hint="eastAsia"/>
                <w:bCs/>
                <w:color w:val="FF0000"/>
                <w:sz w:val="24"/>
                <w:szCs w:val="24"/>
              </w:rPr>
              <w:t>。按照《医院污水处理技术指南》中推荐数据，采用“A/O+沉淀+消毒”工艺处理设施的医院，污泥量产生系数以85g/人·d计</w:t>
            </w:r>
            <w:r>
              <w:rPr>
                <w:rFonts w:hint="eastAsia"/>
                <w:bCs/>
                <w:color w:val="FF0000"/>
                <w:sz w:val="24"/>
                <w:szCs w:val="24"/>
                <w:lang w:eastAsia="zh-CN"/>
              </w:rPr>
              <w:t>，</w:t>
            </w:r>
            <w:r>
              <w:rPr>
                <w:rFonts w:hint="eastAsia"/>
                <w:bCs/>
                <w:color w:val="FF0000"/>
                <w:sz w:val="24"/>
                <w:szCs w:val="24"/>
                <w:lang w:val="en-US" w:eastAsia="zh-CN"/>
              </w:rPr>
              <w:t>污泥含水率为95%，</w:t>
            </w:r>
            <w:r>
              <w:rPr>
                <w:rFonts w:hint="eastAsia"/>
                <w:bCs/>
                <w:color w:val="FF0000"/>
                <w:sz w:val="24"/>
                <w:szCs w:val="24"/>
              </w:rPr>
              <w:t>则污泥产生量为</w:t>
            </w:r>
            <w:r>
              <w:rPr>
                <w:rFonts w:hint="eastAsia"/>
                <w:bCs/>
                <w:color w:val="FF0000"/>
                <w:sz w:val="24"/>
                <w:szCs w:val="24"/>
                <w:lang w:val="en-US" w:eastAsia="zh-CN"/>
              </w:rPr>
              <w:t>155</w:t>
            </w:r>
            <w:r>
              <w:rPr>
                <w:rFonts w:hint="eastAsia"/>
                <w:bCs/>
                <w:color w:val="FF0000"/>
                <w:sz w:val="24"/>
                <w:szCs w:val="24"/>
              </w:rPr>
              <w:t>t/a</w:t>
            </w:r>
            <w:r>
              <w:rPr>
                <w:color w:val="FF0000"/>
                <w:sz w:val="24"/>
                <w:szCs w:val="24"/>
              </w:rPr>
              <w:t>。</w:t>
            </w:r>
            <w:r>
              <w:rPr>
                <w:rFonts w:hint="eastAsia"/>
                <w:color w:val="FF0000"/>
                <w:sz w:val="24"/>
                <w:szCs w:val="24"/>
                <w:lang w:val="en-US" w:eastAsia="zh-CN"/>
              </w:rPr>
              <w:t>污泥</w:t>
            </w:r>
            <w:r>
              <w:rPr>
                <w:rFonts w:eastAsia="宋体"/>
                <w:color w:val="FF0000"/>
                <w:sz w:val="24"/>
                <w:szCs w:val="24"/>
              </w:rPr>
              <w:t>储存于贮泥池中，</w:t>
            </w:r>
            <w:r>
              <w:rPr>
                <w:rFonts w:hint="eastAsia"/>
                <w:color w:val="FF0000"/>
                <w:sz w:val="24"/>
                <w:szCs w:val="24"/>
                <w:lang w:val="en-US" w:eastAsia="zh-CN"/>
              </w:rPr>
              <w:t>采用生石灰作为消毒剂（石灰投加量为15g/L污泥，则生石灰用量为2.33t/a）进行消毒后</w:t>
            </w:r>
            <w:r>
              <w:rPr>
                <w:rFonts w:eastAsia="宋体"/>
                <w:color w:val="FF0000"/>
                <w:sz w:val="24"/>
                <w:szCs w:val="24"/>
              </w:rPr>
              <w:t>作为危险废物交由有资质单位处置。</w:t>
            </w:r>
          </w:p>
          <w:p>
            <w:pPr>
              <w:autoSpaceDE w:val="0"/>
              <w:autoSpaceDN w:val="0"/>
              <w:adjustRightInd w:val="0"/>
              <w:spacing w:line="360" w:lineRule="auto"/>
              <w:ind w:firstLine="480" w:firstLineChars="200"/>
              <w:rPr>
                <w:rFonts w:hint="eastAsia" w:eastAsia="宋体"/>
                <w:bCs/>
                <w:color w:val="auto"/>
                <w:sz w:val="24"/>
                <w:szCs w:val="24"/>
                <w:lang w:val="en-US" w:eastAsia="zh-CN"/>
              </w:rPr>
            </w:pPr>
            <w:r>
              <w:rPr>
                <w:rFonts w:hint="eastAsia" w:ascii="宋体" w:hAnsi="宋体" w:eastAsia="宋体" w:cs="宋体"/>
                <w:bCs/>
                <w:color w:val="FF0000"/>
                <w:sz w:val="24"/>
                <w:szCs w:val="24"/>
              </w:rPr>
              <w:t>⑦</w:t>
            </w:r>
            <w:r>
              <w:rPr>
                <w:rFonts w:hint="eastAsia"/>
                <w:bCs/>
                <w:color w:val="auto"/>
                <w:sz w:val="24"/>
                <w:szCs w:val="24"/>
              </w:rPr>
              <w:t>输液瓶（袋）：根据《医疗机构废弃物综合治理工作方案》国卫医发〔2020〕3号，加强源头管理：医疗机构废弃物分为医疗废物、生活垃圾和输液瓶（袋）。通过规范分类和清晰流程，各医疗机构内形成分类投放、分类收集、分类贮存、分类交接、分类转运的废弃物管理系统。本项目输液瓶（袋）分类收集，定期交由有资质单位回收利用。</w:t>
            </w:r>
          </w:p>
          <w:p>
            <w:pPr>
              <w:autoSpaceDE w:val="0"/>
              <w:autoSpaceDN w:val="0"/>
              <w:adjustRightInd w:val="0"/>
              <w:spacing w:line="360" w:lineRule="auto"/>
              <w:ind w:firstLine="480" w:firstLineChars="200"/>
              <w:rPr>
                <w:rFonts w:hint="eastAsia"/>
                <w:color w:val="auto"/>
                <w:sz w:val="24"/>
                <w:szCs w:val="24"/>
              </w:rPr>
            </w:pPr>
            <w:r>
              <w:rPr>
                <w:rFonts w:hint="eastAsia"/>
                <w:bCs/>
                <w:color w:val="auto"/>
                <w:sz w:val="24"/>
                <w:szCs w:val="24"/>
              </w:rPr>
              <w:t>根据建设单位</w:t>
            </w:r>
            <w:r>
              <w:rPr>
                <w:rFonts w:hint="eastAsia"/>
                <w:bCs/>
                <w:color w:val="auto"/>
                <w:sz w:val="24"/>
                <w:szCs w:val="24"/>
                <w:lang w:val="en-US" w:eastAsia="zh-CN"/>
              </w:rPr>
              <w:t>提供数据</w:t>
            </w:r>
            <w:r>
              <w:rPr>
                <w:rFonts w:hint="eastAsia"/>
                <w:bCs/>
                <w:color w:val="auto"/>
                <w:sz w:val="24"/>
                <w:szCs w:val="24"/>
              </w:rPr>
              <w:t>，输液瓶（袋）产生量约1t/a。</w:t>
            </w:r>
          </w:p>
          <w:p>
            <w:pPr>
              <w:autoSpaceDE w:val="0"/>
              <w:autoSpaceDN w:val="0"/>
              <w:adjustRightInd w:val="0"/>
              <w:spacing w:line="360" w:lineRule="auto"/>
              <w:ind w:firstLine="480" w:firstLineChars="200"/>
              <w:rPr>
                <w:rFonts w:hint="eastAsia"/>
                <w:color w:val="auto"/>
                <w:szCs w:val="21"/>
              </w:rPr>
            </w:pPr>
            <w:r>
              <w:rPr>
                <w:rFonts w:hint="eastAsia"/>
                <w:color w:val="auto"/>
                <w:sz w:val="24"/>
                <w:szCs w:val="24"/>
              </w:rPr>
              <w:t>（3）主要有毒有害物质名称、物理性状、环境危险特性、年度产生量、贮存方式见下表：</w:t>
            </w:r>
          </w:p>
          <w:p>
            <w:pPr>
              <w:autoSpaceDE w:val="0"/>
              <w:autoSpaceDN w:val="0"/>
              <w:adjustRightInd w:val="0"/>
              <w:spacing w:line="360" w:lineRule="auto"/>
              <w:ind w:firstLine="422" w:firstLineChars="200"/>
              <w:jc w:val="center"/>
              <w:rPr>
                <w:b/>
                <w:color w:val="auto"/>
                <w:szCs w:val="21"/>
              </w:rPr>
            </w:pPr>
            <w:r>
              <w:rPr>
                <w:b/>
                <w:color w:val="auto"/>
                <w:szCs w:val="21"/>
              </w:rPr>
              <w:t>表</w:t>
            </w:r>
            <w:r>
              <w:rPr>
                <w:rFonts w:hint="eastAsia"/>
                <w:b/>
                <w:color w:val="auto"/>
                <w:szCs w:val="21"/>
              </w:rPr>
              <w:t>4-</w:t>
            </w:r>
            <w:r>
              <w:rPr>
                <w:rFonts w:hint="eastAsia"/>
                <w:b/>
                <w:color w:val="auto"/>
                <w:szCs w:val="21"/>
                <w:lang w:val="en-US" w:eastAsia="zh-CN"/>
              </w:rPr>
              <w:t>11</w:t>
            </w:r>
            <w:r>
              <w:rPr>
                <w:rFonts w:hint="eastAsia"/>
                <w:b/>
                <w:color w:val="auto"/>
                <w:szCs w:val="21"/>
              </w:rPr>
              <w:t xml:space="preserve">    </w:t>
            </w:r>
            <w:r>
              <w:rPr>
                <w:b/>
                <w:color w:val="auto"/>
                <w:szCs w:val="21"/>
              </w:rPr>
              <w:t>本项目</w:t>
            </w:r>
            <w:r>
              <w:rPr>
                <w:rFonts w:hint="eastAsia"/>
                <w:b/>
                <w:color w:val="auto"/>
                <w:szCs w:val="21"/>
              </w:rPr>
              <w:t>固体废物情况</w:t>
            </w:r>
            <w:r>
              <w:rPr>
                <w:b/>
                <w:color w:val="auto"/>
                <w:szCs w:val="21"/>
              </w:rPr>
              <w:t>汇总表</w:t>
            </w:r>
          </w:p>
          <w:tbl>
            <w:tblPr>
              <w:tblStyle w:val="27"/>
              <w:tblW w:w="4998"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629"/>
              <w:gridCol w:w="1069"/>
              <w:gridCol w:w="649"/>
              <w:gridCol w:w="838"/>
              <w:gridCol w:w="935"/>
              <w:gridCol w:w="843"/>
              <w:gridCol w:w="1198"/>
              <w:gridCol w:w="872"/>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shd w:val="clear" w:color="auto" w:fill="auto"/>
                  <w:noWrap w:val="0"/>
                  <w:vAlign w:val="center"/>
                </w:tcPr>
                <w:p>
                  <w:pPr>
                    <w:autoSpaceDE w:val="0"/>
                    <w:autoSpaceDN w:val="0"/>
                    <w:adjustRightInd w:val="0"/>
                    <w:jc w:val="center"/>
                    <w:rPr>
                      <w:b/>
                      <w:bCs/>
                      <w:color w:val="auto"/>
                      <w:szCs w:val="21"/>
                    </w:rPr>
                  </w:pPr>
                  <w:r>
                    <w:rPr>
                      <w:b/>
                      <w:bCs/>
                      <w:color w:val="auto"/>
                      <w:szCs w:val="21"/>
                    </w:rPr>
                    <w:t>主要有毒有害物质名称</w:t>
                  </w:r>
                </w:p>
              </w:tc>
              <w:tc>
                <w:tcPr>
                  <w:tcW w:w="629" w:type="pct"/>
                  <w:shd w:val="clear" w:color="auto" w:fill="auto"/>
                  <w:noWrap w:val="0"/>
                  <w:vAlign w:val="center"/>
                </w:tcPr>
                <w:p>
                  <w:pPr>
                    <w:autoSpaceDE w:val="0"/>
                    <w:autoSpaceDN w:val="0"/>
                    <w:adjustRightInd w:val="0"/>
                    <w:jc w:val="center"/>
                    <w:rPr>
                      <w:b/>
                      <w:bCs/>
                      <w:color w:val="auto"/>
                      <w:szCs w:val="21"/>
                    </w:rPr>
                  </w:pPr>
                  <w:r>
                    <w:rPr>
                      <w:b/>
                      <w:bCs/>
                      <w:color w:val="auto"/>
                      <w:szCs w:val="21"/>
                    </w:rPr>
                    <w:t>主要</w:t>
                  </w:r>
                </w:p>
                <w:p>
                  <w:pPr>
                    <w:autoSpaceDE w:val="0"/>
                    <w:autoSpaceDN w:val="0"/>
                    <w:adjustRightInd w:val="0"/>
                    <w:jc w:val="center"/>
                    <w:rPr>
                      <w:b/>
                      <w:bCs/>
                      <w:color w:val="auto"/>
                      <w:szCs w:val="21"/>
                    </w:rPr>
                  </w:pPr>
                  <w:r>
                    <w:rPr>
                      <w:b/>
                      <w:bCs/>
                      <w:color w:val="auto"/>
                      <w:szCs w:val="21"/>
                    </w:rPr>
                    <w:t>成分</w:t>
                  </w:r>
                </w:p>
              </w:tc>
              <w:tc>
                <w:tcPr>
                  <w:tcW w:w="382" w:type="pct"/>
                  <w:shd w:val="clear" w:color="auto" w:fill="auto"/>
                  <w:noWrap w:val="0"/>
                  <w:vAlign w:val="center"/>
                </w:tcPr>
                <w:p>
                  <w:pPr>
                    <w:autoSpaceDE w:val="0"/>
                    <w:autoSpaceDN w:val="0"/>
                    <w:adjustRightInd w:val="0"/>
                    <w:jc w:val="center"/>
                    <w:rPr>
                      <w:b/>
                      <w:bCs/>
                      <w:color w:val="auto"/>
                      <w:szCs w:val="21"/>
                    </w:rPr>
                  </w:pPr>
                  <w:r>
                    <w:rPr>
                      <w:b/>
                      <w:bCs/>
                      <w:color w:val="auto"/>
                      <w:szCs w:val="21"/>
                    </w:rPr>
                    <w:t>物理性状</w:t>
                  </w:r>
                </w:p>
              </w:tc>
              <w:tc>
                <w:tcPr>
                  <w:tcW w:w="493" w:type="pct"/>
                  <w:shd w:val="clear" w:color="auto" w:fill="auto"/>
                  <w:noWrap w:val="0"/>
                  <w:vAlign w:val="center"/>
                </w:tcPr>
                <w:p>
                  <w:pPr>
                    <w:autoSpaceDE w:val="0"/>
                    <w:autoSpaceDN w:val="0"/>
                    <w:adjustRightInd w:val="0"/>
                    <w:jc w:val="center"/>
                    <w:rPr>
                      <w:b/>
                      <w:bCs/>
                      <w:color w:val="auto"/>
                      <w:szCs w:val="21"/>
                    </w:rPr>
                  </w:pPr>
                  <w:r>
                    <w:rPr>
                      <w:b/>
                      <w:bCs/>
                      <w:color w:val="auto"/>
                      <w:szCs w:val="21"/>
                    </w:rPr>
                    <w:t>属性</w:t>
                  </w:r>
                </w:p>
              </w:tc>
              <w:tc>
                <w:tcPr>
                  <w:tcW w:w="550" w:type="pct"/>
                  <w:shd w:val="clear" w:color="auto" w:fill="auto"/>
                  <w:noWrap w:val="0"/>
                  <w:vAlign w:val="center"/>
                </w:tcPr>
                <w:p>
                  <w:pPr>
                    <w:autoSpaceDE w:val="0"/>
                    <w:autoSpaceDN w:val="0"/>
                    <w:adjustRightInd w:val="0"/>
                    <w:jc w:val="center"/>
                    <w:rPr>
                      <w:b/>
                      <w:bCs/>
                      <w:color w:val="auto"/>
                      <w:szCs w:val="21"/>
                    </w:rPr>
                  </w:pPr>
                  <w:r>
                    <w:rPr>
                      <w:b/>
                      <w:bCs/>
                      <w:color w:val="auto"/>
                      <w:szCs w:val="21"/>
                    </w:rPr>
                    <w:t>环境危险特性</w:t>
                  </w:r>
                </w:p>
              </w:tc>
              <w:tc>
                <w:tcPr>
                  <w:tcW w:w="496" w:type="pct"/>
                  <w:shd w:val="clear" w:color="auto" w:fill="auto"/>
                  <w:noWrap w:val="0"/>
                  <w:vAlign w:val="center"/>
                </w:tcPr>
                <w:p>
                  <w:pPr>
                    <w:autoSpaceDE w:val="0"/>
                    <w:autoSpaceDN w:val="0"/>
                    <w:adjustRightInd w:val="0"/>
                    <w:jc w:val="center"/>
                    <w:rPr>
                      <w:b/>
                      <w:bCs/>
                      <w:color w:val="auto"/>
                      <w:szCs w:val="21"/>
                    </w:rPr>
                  </w:pPr>
                  <w:r>
                    <w:rPr>
                      <w:b/>
                      <w:bCs/>
                      <w:color w:val="auto"/>
                      <w:szCs w:val="21"/>
                    </w:rPr>
                    <w:t>危废类别</w:t>
                  </w:r>
                </w:p>
              </w:tc>
              <w:tc>
                <w:tcPr>
                  <w:tcW w:w="705" w:type="pct"/>
                  <w:shd w:val="clear" w:color="auto" w:fill="auto"/>
                  <w:noWrap w:val="0"/>
                  <w:vAlign w:val="center"/>
                </w:tcPr>
                <w:p>
                  <w:pPr>
                    <w:autoSpaceDE w:val="0"/>
                    <w:autoSpaceDN w:val="0"/>
                    <w:adjustRightInd w:val="0"/>
                    <w:jc w:val="center"/>
                    <w:rPr>
                      <w:b/>
                      <w:bCs/>
                      <w:color w:val="auto"/>
                      <w:szCs w:val="21"/>
                    </w:rPr>
                  </w:pPr>
                  <w:r>
                    <w:rPr>
                      <w:b/>
                      <w:bCs/>
                      <w:color w:val="auto"/>
                      <w:szCs w:val="21"/>
                    </w:rPr>
                    <w:t>危废</w:t>
                  </w:r>
                </w:p>
                <w:p>
                  <w:pPr>
                    <w:autoSpaceDE w:val="0"/>
                    <w:autoSpaceDN w:val="0"/>
                    <w:adjustRightInd w:val="0"/>
                    <w:jc w:val="center"/>
                    <w:rPr>
                      <w:b/>
                      <w:bCs/>
                      <w:color w:val="auto"/>
                      <w:szCs w:val="21"/>
                    </w:rPr>
                  </w:pPr>
                  <w:r>
                    <w:rPr>
                      <w:b/>
                      <w:bCs/>
                      <w:color w:val="auto"/>
                      <w:szCs w:val="21"/>
                    </w:rPr>
                    <w:t>代码</w:t>
                  </w:r>
                </w:p>
              </w:tc>
              <w:tc>
                <w:tcPr>
                  <w:tcW w:w="513" w:type="pct"/>
                  <w:shd w:val="clear" w:color="auto" w:fill="auto"/>
                  <w:noWrap w:val="0"/>
                  <w:vAlign w:val="center"/>
                </w:tcPr>
                <w:p>
                  <w:pPr>
                    <w:autoSpaceDE w:val="0"/>
                    <w:autoSpaceDN w:val="0"/>
                    <w:adjustRightInd w:val="0"/>
                    <w:jc w:val="center"/>
                    <w:rPr>
                      <w:b/>
                      <w:bCs/>
                      <w:color w:val="auto"/>
                      <w:szCs w:val="21"/>
                    </w:rPr>
                  </w:pPr>
                  <w:r>
                    <w:rPr>
                      <w:b/>
                      <w:bCs/>
                      <w:color w:val="auto"/>
                      <w:szCs w:val="21"/>
                    </w:rPr>
                    <w:t>产生量（t/a）</w:t>
                  </w:r>
                </w:p>
              </w:tc>
              <w:tc>
                <w:tcPr>
                  <w:tcW w:w="586" w:type="pct"/>
                  <w:shd w:val="clear" w:color="auto" w:fill="auto"/>
                  <w:noWrap w:val="0"/>
                  <w:vAlign w:val="center"/>
                </w:tcPr>
                <w:p>
                  <w:pPr>
                    <w:autoSpaceDE w:val="0"/>
                    <w:autoSpaceDN w:val="0"/>
                    <w:adjustRightInd w:val="0"/>
                    <w:jc w:val="center"/>
                    <w:rPr>
                      <w:b/>
                      <w:bCs/>
                      <w:color w:val="auto"/>
                      <w:szCs w:val="21"/>
                    </w:rPr>
                  </w:pPr>
                  <w:r>
                    <w:rPr>
                      <w:b/>
                      <w:bCs/>
                      <w:color w:val="auto"/>
                      <w:szCs w:val="21"/>
                    </w:rPr>
                    <w:t>贮存方式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shd w:val="clear" w:color="auto" w:fill="auto"/>
                  <w:noWrap w:val="0"/>
                  <w:vAlign w:val="center"/>
                </w:tcPr>
                <w:p>
                  <w:pPr>
                    <w:autoSpaceDE w:val="0"/>
                    <w:autoSpaceDN w:val="0"/>
                    <w:adjustRightInd w:val="0"/>
                    <w:jc w:val="center"/>
                    <w:rPr>
                      <w:color w:val="auto"/>
                      <w:szCs w:val="21"/>
                    </w:rPr>
                  </w:pPr>
                  <w:r>
                    <w:rPr>
                      <w:color w:val="auto"/>
                      <w:szCs w:val="21"/>
                    </w:rPr>
                    <w:t>生活</w:t>
                  </w:r>
                </w:p>
                <w:p>
                  <w:pPr>
                    <w:autoSpaceDE w:val="0"/>
                    <w:autoSpaceDN w:val="0"/>
                    <w:adjustRightInd w:val="0"/>
                    <w:jc w:val="center"/>
                    <w:rPr>
                      <w:color w:val="auto"/>
                      <w:szCs w:val="21"/>
                    </w:rPr>
                  </w:pPr>
                  <w:r>
                    <w:rPr>
                      <w:color w:val="auto"/>
                      <w:szCs w:val="21"/>
                    </w:rPr>
                    <w:t>垃圾</w:t>
                  </w:r>
                </w:p>
              </w:tc>
              <w:tc>
                <w:tcPr>
                  <w:tcW w:w="629" w:type="pct"/>
                  <w:shd w:val="clear" w:color="auto" w:fill="auto"/>
                  <w:noWrap w:val="0"/>
                  <w:vAlign w:val="center"/>
                </w:tcPr>
                <w:p>
                  <w:pPr>
                    <w:autoSpaceDE w:val="0"/>
                    <w:autoSpaceDN w:val="0"/>
                    <w:adjustRightInd w:val="0"/>
                    <w:jc w:val="center"/>
                    <w:rPr>
                      <w:color w:val="auto"/>
                      <w:szCs w:val="21"/>
                    </w:rPr>
                  </w:pPr>
                  <w:r>
                    <w:rPr>
                      <w:bCs/>
                      <w:color w:val="auto"/>
                      <w:szCs w:val="21"/>
                    </w:rPr>
                    <w:t>纸屑、果皮</w:t>
                  </w:r>
                  <w:r>
                    <w:rPr>
                      <w:rFonts w:hint="eastAsia"/>
                      <w:bCs/>
                      <w:color w:val="auto"/>
                      <w:szCs w:val="21"/>
                    </w:rPr>
                    <w:t>、</w:t>
                  </w:r>
                  <w:r>
                    <w:rPr>
                      <w:color w:val="auto"/>
                      <w:szCs w:val="21"/>
                    </w:rPr>
                    <w:t>包装袋等</w:t>
                  </w:r>
                </w:p>
              </w:tc>
              <w:tc>
                <w:tcPr>
                  <w:tcW w:w="382" w:type="pct"/>
                  <w:shd w:val="clear" w:color="auto" w:fill="auto"/>
                  <w:noWrap w:val="0"/>
                  <w:vAlign w:val="center"/>
                </w:tcPr>
                <w:p>
                  <w:pPr>
                    <w:autoSpaceDE w:val="0"/>
                    <w:autoSpaceDN w:val="0"/>
                    <w:adjustRightInd w:val="0"/>
                    <w:jc w:val="center"/>
                    <w:rPr>
                      <w:color w:val="auto"/>
                      <w:szCs w:val="21"/>
                    </w:rPr>
                  </w:pPr>
                  <w:r>
                    <w:rPr>
                      <w:color w:val="auto"/>
                      <w:szCs w:val="21"/>
                    </w:rPr>
                    <w:t>固态</w:t>
                  </w:r>
                </w:p>
              </w:tc>
              <w:tc>
                <w:tcPr>
                  <w:tcW w:w="493" w:type="pct"/>
                  <w:shd w:val="clear" w:color="auto" w:fill="auto"/>
                  <w:noWrap w:val="0"/>
                  <w:vAlign w:val="center"/>
                </w:tcPr>
                <w:p>
                  <w:pPr>
                    <w:autoSpaceDE w:val="0"/>
                    <w:autoSpaceDN w:val="0"/>
                    <w:adjustRightInd w:val="0"/>
                    <w:jc w:val="center"/>
                    <w:rPr>
                      <w:color w:val="auto"/>
                      <w:szCs w:val="21"/>
                    </w:rPr>
                  </w:pPr>
                  <w:r>
                    <w:rPr>
                      <w:color w:val="auto"/>
                      <w:szCs w:val="21"/>
                    </w:rPr>
                    <w:t>一般废物</w:t>
                  </w:r>
                </w:p>
              </w:tc>
              <w:tc>
                <w:tcPr>
                  <w:tcW w:w="550" w:type="pct"/>
                  <w:shd w:val="clear" w:color="auto" w:fill="auto"/>
                  <w:noWrap w:val="0"/>
                  <w:vAlign w:val="center"/>
                </w:tcPr>
                <w:p>
                  <w:pPr>
                    <w:autoSpaceDE w:val="0"/>
                    <w:autoSpaceDN w:val="0"/>
                    <w:adjustRightInd w:val="0"/>
                    <w:jc w:val="center"/>
                    <w:rPr>
                      <w:color w:val="auto"/>
                      <w:szCs w:val="21"/>
                    </w:rPr>
                  </w:pPr>
                  <w:r>
                    <w:rPr>
                      <w:color w:val="auto"/>
                      <w:szCs w:val="21"/>
                    </w:rPr>
                    <w:t>/</w:t>
                  </w:r>
                </w:p>
              </w:tc>
              <w:tc>
                <w:tcPr>
                  <w:tcW w:w="496" w:type="pct"/>
                  <w:shd w:val="clear" w:color="auto" w:fill="auto"/>
                  <w:noWrap w:val="0"/>
                  <w:vAlign w:val="center"/>
                </w:tcPr>
                <w:p>
                  <w:pPr>
                    <w:autoSpaceDE w:val="0"/>
                    <w:autoSpaceDN w:val="0"/>
                    <w:adjustRightInd w:val="0"/>
                    <w:jc w:val="center"/>
                    <w:rPr>
                      <w:color w:val="auto"/>
                      <w:szCs w:val="21"/>
                    </w:rPr>
                  </w:pPr>
                  <w:r>
                    <w:rPr>
                      <w:color w:val="auto"/>
                      <w:szCs w:val="21"/>
                    </w:rPr>
                    <w:t>/</w:t>
                  </w:r>
                </w:p>
              </w:tc>
              <w:tc>
                <w:tcPr>
                  <w:tcW w:w="705" w:type="pct"/>
                  <w:shd w:val="clear" w:color="auto" w:fill="auto"/>
                  <w:noWrap w:val="0"/>
                  <w:vAlign w:val="center"/>
                </w:tcPr>
                <w:p>
                  <w:pPr>
                    <w:autoSpaceDE w:val="0"/>
                    <w:autoSpaceDN w:val="0"/>
                    <w:adjustRightInd w:val="0"/>
                    <w:jc w:val="center"/>
                    <w:rPr>
                      <w:color w:val="auto"/>
                      <w:szCs w:val="21"/>
                    </w:rPr>
                  </w:pPr>
                  <w:r>
                    <w:rPr>
                      <w:color w:val="auto"/>
                      <w:szCs w:val="21"/>
                    </w:rPr>
                    <w:t>/</w:t>
                  </w:r>
                </w:p>
              </w:tc>
              <w:tc>
                <w:tcPr>
                  <w:tcW w:w="513" w:type="pct"/>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73</w:t>
                  </w:r>
                </w:p>
              </w:tc>
              <w:tc>
                <w:tcPr>
                  <w:tcW w:w="586" w:type="pct"/>
                  <w:shd w:val="clear" w:color="auto" w:fill="auto"/>
                  <w:noWrap w:val="0"/>
                  <w:vAlign w:val="center"/>
                </w:tcPr>
                <w:p>
                  <w:pPr>
                    <w:autoSpaceDE w:val="0"/>
                    <w:autoSpaceDN w:val="0"/>
                    <w:adjustRightInd w:val="0"/>
                    <w:jc w:val="center"/>
                    <w:rPr>
                      <w:color w:val="auto"/>
                      <w:szCs w:val="21"/>
                    </w:rPr>
                  </w:pPr>
                  <w:r>
                    <w:rPr>
                      <w:color w:val="auto"/>
                      <w:szCs w:val="21"/>
                    </w:rPr>
                    <w:t>暂存于分类垃圾桶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餐厨垃圾</w:t>
                  </w:r>
                </w:p>
              </w:tc>
              <w:tc>
                <w:tcPr>
                  <w:tcW w:w="629" w:type="pct"/>
                  <w:shd w:val="clear" w:color="auto" w:fill="auto"/>
                  <w:noWrap w:val="0"/>
                  <w:vAlign w:val="center"/>
                </w:tcPr>
                <w:p>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剩菜等</w:t>
                  </w:r>
                </w:p>
              </w:tc>
              <w:tc>
                <w:tcPr>
                  <w:tcW w:w="382"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固态</w:t>
                  </w:r>
                </w:p>
              </w:tc>
              <w:tc>
                <w:tcPr>
                  <w:tcW w:w="493" w:type="pct"/>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一般废物</w:t>
                  </w:r>
                </w:p>
              </w:tc>
              <w:tc>
                <w:tcPr>
                  <w:tcW w:w="550"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w:t>
                  </w:r>
                </w:p>
              </w:tc>
              <w:tc>
                <w:tcPr>
                  <w:tcW w:w="496"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w:t>
                  </w:r>
                </w:p>
              </w:tc>
              <w:tc>
                <w:tcPr>
                  <w:tcW w:w="705"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w:t>
                  </w:r>
                </w:p>
              </w:tc>
              <w:tc>
                <w:tcPr>
                  <w:tcW w:w="513" w:type="pct"/>
                  <w:shd w:val="clear" w:color="auto" w:fill="auto"/>
                  <w:noWrap w:val="0"/>
                  <w:vAlign w:val="center"/>
                </w:tcPr>
                <w:p>
                  <w:pPr>
                    <w:autoSpaceDE w:val="0"/>
                    <w:autoSpaceDN w:val="0"/>
                    <w:adjustRightInd w:val="0"/>
                    <w:jc w:val="center"/>
                    <w:rPr>
                      <w:rFonts w:hint="default"/>
                      <w:color w:val="auto"/>
                      <w:szCs w:val="21"/>
                      <w:lang w:val="en-US" w:eastAsia="zh-CN"/>
                    </w:rPr>
                  </w:pPr>
                  <w:r>
                    <w:rPr>
                      <w:rFonts w:hint="eastAsia"/>
                      <w:color w:val="auto"/>
                      <w:szCs w:val="21"/>
                      <w:lang w:val="en-US" w:eastAsia="zh-CN"/>
                    </w:rPr>
                    <w:t>6.57</w:t>
                  </w:r>
                </w:p>
              </w:tc>
              <w:tc>
                <w:tcPr>
                  <w:tcW w:w="586" w:type="pct"/>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暂存于餐厨垃圾收集桶，交由有资质单位收集处置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642" w:type="pct"/>
                  <w:gridSpan w:val="2"/>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医患被服</w:t>
                  </w:r>
                </w:p>
              </w:tc>
              <w:tc>
                <w:tcPr>
                  <w:tcW w:w="629" w:type="pct"/>
                  <w:shd w:val="clear" w:color="auto" w:fill="auto"/>
                  <w:noWrap w:val="0"/>
                  <w:vAlign w:val="center"/>
                </w:tcPr>
                <w:p>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病服、床单、医护服等</w:t>
                  </w:r>
                </w:p>
              </w:tc>
              <w:tc>
                <w:tcPr>
                  <w:tcW w:w="382"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固态</w:t>
                  </w:r>
                </w:p>
              </w:tc>
              <w:tc>
                <w:tcPr>
                  <w:tcW w:w="493" w:type="pct"/>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一般废物</w:t>
                  </w:r>
                </w:p>
              </w:tc>
              <w:tc>
                <w:tcPr>
                  <w:tcW w:w="550"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w:t>
                  </w:r>
                </w:p>
              </w:tc>
              <w:tc>
                <w:tcPr>
                  <w:tcW w:w="496"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w:t>
                  </w:r>
                </w:p>
              </w:tc>
              <w:tc>
                <w:tcPr>
                  <w:tcW w:w="705" w:type="pct"/>
                  <w:shd w:val="clear" w:color="auto" w:fill="auto"/>
                  <w:noWrap w:val="0"/>
                  <w:vAlign w:val="center"/>
                </w:tcPr>
                <w:p>
                  <w:pPr>
                    <w:autoSpaceDE w:val="0"/>
                    <w:autoSpaceDN w:val="0"/>
                    <w:adjustRightInd w:val="0"/>
                    <w:jc w:val="center"/>
                    <w:rPr>
                      <w:rFonts w:hint="eastAsia" w:eastAsia="宋体"/>
                      <w:color w:val="auto"/>
                      <w:szCs w:val="21"/>
                      <w:lang w:val="en-US" w:eastAsia="zh-CN"/>
                    </w:rPr>
                  </w:pPr>
                  <w:r>
                    <w:rPr>
                      <w:rFonts w:hint="eastAsia"/>
                      <w:color w:val="auto"/>
                      <w:szCs w:val="21"/>
                      <w:lang w:val="en-US" w:eastAsia="zh-CN"/>
                    </w:rPr>
                    <w:t>/</w:t>
                  </w:r>
                </w:p>
              </w:tc>
              <w:tc>
                <w:tcPr>
                  <w:tcW w:w="513" w:type="pct"/>
                  <w:shd w:val="clear" w:color="auto" w:fill="auto"/>
                  <w:noWrap w:val="0"/>
                  <w:vAlign w:val="center"/>
                </w:tcPr>
                <w:p>
                  <w:pPr>
                    <w:autoSpaceDE w:val="0"/>
                    <w:autoSpaceDN w:val="0"/>
                    <w:adjustRightInd w:val="0"/>
                    <w:jc w:val="center"/>
                    <w:rPr>
                      <w:rFonts w:hint="default"/>
                      <w:color w:val="auto"/>
                      <w:szCs w:val="21"/>
                      <w:lang w:val="en-US" w:eastAsia="zh-CN"/>
                    </w:rPr>
                  </w:pPr>
                  <w:r>
                    <w:rPr>
                      <w:rFonts w:hint="eastAsia"/>
                      <w:color w:val="auto"/>
                      <w:szCs w:val="21"/>
                      <w:lang w:val="en-US" w:eastAsia="zh-CN"/>
                    </w:rPr>
                    <w:t>2.5</w:t>
                  </w:r>
                </w:p>
              </w:tc>
              <w:tc>
                <w:tcPr>
                  <w:tcW w:w="586" w:type="pct"/>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交由专业机构清洗消毒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vMerge w:val="restart"/>
                  <w:shd w:val="clear" w:color="auto" w:fill="auto"/>
                  <w:noWrap w:val="0"/>
                  <w:vAlign w:val="center"/>
                </w:tcPr>
                <w:p>
                  <w:pPr>
                    <w:autoSpaceDE w:val="0"/>
                    <w:autoSpaceDN w:val="0"/>
                    <w:adjustRightInd w:val="0"/>
                    <w:jc w:val="center"/>
                    <w:rPr>
                      <w:color w:val="auto"/>
                      <w:szCs w:val="21"/>
                    </w:rPr>
                  </w:pPr>
                  <w:r>
                    <w:rPr>
                      <w:color w:val="auto"/>
                      <w:szCs w:val="21"/>
                    </w:rPr>
                    <w:t>医疗废物</w:t>
                  </w:r>
                </w:p>
              </w:tc>
              <w:tc>
                <w:tcPr>
                  <w:tcW w:w="370" w:type="pct"/>
                  <w:shd w:val="clear" w:color="auto" w:fill="auto"/>
                  <w:noWrap w:val="0"/>
                  <w:vAlign w:val="center"/>
                </w:tcPr>
                <w:p>
                  <w:pPr>
                    <w:autoSpaceDE w:val="0"/>
                    <w:autoSpaceDN w:val="0"/>
                    <w:adjustRightInd w:val="0"/>
                    <w:jc w:val="center"/>
                    <w:rPr>
                      <w:color w:val="auto"/>
                      <w:szCs w:val="21"/>
                    </w:rPr>
                  </w:pPr>
                  <w:r>
                    <w:rPr>
                      <w:color w:val="auto"/>
                      <w:szCs w:val="21"/>
                    </w:rPr>
                    <w:t>感染性</w:t>
                  </w:r>
                </w:p>
              </w:tc>
              <w:tc>
                <w:tcPr>
                  <w:tcW w:w="629" w:type="pct"/>
                  <w:shd w:val="clear" w:color="auto" w:fill="auto"/>
                  <w:noWrap w:val="0"/>
                  <w:vAlign w:val="center"/>
                </w:tcPr>
                <w:p>
                  <w:pPr>
                    <w:autoSpaceDE w:val="0"/>
                    <w:autoSpaceDN w:val="0"/>
                    <w:adjustRightInd w:val="0"/>
                    <w:jc w:val="center"/>
                    <w:rPr>
                      <w:color w:val="auto"/>
                      <w:szCs w:val="21"/>
                    </w:rPr>
                  </w:pPr>
                  <w:r>
                    <w:rPr>
                      <w:bCs/>
                      <w:color w:val="auto"/>
                      <w:szCs w:val="21"/>
                    </w:rPr>
                    <w:t>废棉签、废纱布、一次性注射器</w:t>
                  </w:r>
                </w:p>
              </w:tc>
              <w:tc>
                <w:tcPr>
                  <w:tcW w:w="382" w:type="pct"/>
                  <w:shd w:val="clear" w:color="auto" w:fill="auto"/>
                  <w:noWrap w:val="0"/>
                  <w:vAlign w:val="center"/>
                </w:tcPr>
                <w:p>
                  <w:pPr>
                    <w:autoSpaceDE w:val="0"/>
                    <w:autoSpaceDN w:val="0"/>
                    <w:adjustRightInd w:val="0"/>
                    <w:jc w:val="center"/>
                    <w:rPr>
                      <w:color w:val="auto"/>
                      <w:szCs w:val="21"/>
                    </w:rPr>
                  </w:pPr>
                  <w:r>
                    <w:rPr>
                      <w:color w:val="auto"/>
                      <w:szCs w:val="21"/>
                    </w:rPr>
                    <w:t>固态</w:t>
                  </w:r>
                </w:p>
              </w:tc>
              <w:tc>
                <w:tcPr>
                  <w:tcW w:w="493" w:type="pct"/>
                  <w:vMerge w:val="restart"/>
                  <w:shd w:val="clear" w:color="auto" w:fill="auto"/>
                  <w:noWrap w:val="0"/>
                  <w:vAlign w:val="center"/>
                </w:tcPr>
                <w:p>
                  <w:pPr>
                    <w:autoSpaceDE w:val="0"/>
                    <w:autoSpaceDN w:val="0"/>
                    <w:adjustRightInd w:val="0"/>
                    <w:jc w:val="center"/>
                    <w:rPr>
                      <w:color w:val="auto"/>
                      <w:szCs w:val="21"/>
                    </w:rPr>
                  </w:pPr>
                  <w:r>
                    <w:rPr>
                      <w:color w:val="auto"/>
                      <w:szCs w:val="21"/>
                    </w:rPr>
                    <w:t>危险废物</w:t>
                  </w:r>
                </w:p>
              </w:tc>
              <w:tc>
                <w:tcPr>
                  <w:tcW w:w="550" w:type="pct"/>
                  <w:shd w:val="clear" w:color="auto" w:fill="auto"/>
                  <w:noWrap w:val="0"/>
                  <w:vAlign w:val="center"/>
                </w:tcPr>
                <w:p>
                  <w:pPr>
                    <w:autoSpaceDE w:val="0"/>
                    <w:autoSpaceDN w:val="0"/>
                    <w:adjustRightInd w:val="0"/>
                    <w:jc w:val="center"/>
                    <w:rPr>
                      <w:color w:val="auto"/>
                      <w:szCs w:val="21"/>
                    </w:rPr>
                  </w:pPr>
                  <w:r>
                    <w:rPr>
                      <w:color w:val="auto"/>
                      <w:szCs w:val="21"/>
                    </w:rPr>
                    <w:t>In</w:t>
                  </w:r>
                </w:p>
              </w:tc>
              <w:tc>
                <w:tcPr>
                  <w:tcW w:w="496" w:type="pct"/>
                  <w:vMerge w:val="restart"/>
                  <w:shd w:val="clear" w:color="auto" w:fill="auto"/>
                  <w:noWrap w:val="0"/>
                  <w:vAlign w:val="center"/>
                </w:tcPr>
                <w:p>
                  <w:pPr>
                    <w:autoSpaceDE w:val="0"/>
                    <w:autoSpaceDN w:val="0"/>
                    <w:adjustRightInd w:val="0"/>
                    <w:jc w:val="center"/>
                    <w:rPr>
                      <w:color w:val="auto"/>
                      <w:szCs w:val="21"/>
                    </w:rPr>
                  </w:pPr>
                  <w:r>
                    <w:rPr>
                      <w:color w:val="auto"/>
                      <w:szCs w:val="21"/>
                    </w:rPr>
                    <w:t>HW01</w:t>
                  </w:r>
                </w:p>
              </w:tc>
              <w:tc>
                <w:tcPr>
                  <w:tcW w:w="705" w:type="pct"/>
                  <w:shd w:val="clear" w:color="auto" w:fill="auto"/>
                  <w:noWrap w:val="0"/>
                  <w:vAlign w:val="center"/>
                </w:tcPr>
                <w:p>
                  <w:pPr>
                    <w:autoSpaceDE w:val="0"/>
                    <w:autoSpaceDN w:val="0"/>
                    <w:adjustRightInd w:val="0"/>
                    <w:jc w:val="center"/>
                    <w:rPr>
                      <w:color w:val="auto"/>
                      <w:szCs w:val="21"/>
                    </w:rPr>
                  </w:pPr>
                  <w:r>
                    <w:rPr>
                      <w:color w:val="auto"/>
                      <w:szCs w:val="21"/>
                    </w:rPr>
                    <w:t>8</w:t>
                  </w:r>
                  <w:r>
                    <w:rPr>
                      <w:rFonts w:hint="eastAsia"/>
                      <w:color w:val="auto"/>
                      <w:szCs w:val="21"/>
                    </w:rPr>
                    <w:t>4</w:t>
                  </w:r>
                  <w:r>
                    <w:rPr>
                      <w:color w:val="auto"/>
                      <w:szCs w:val="21"/>
                    </w:rPr>
                    <w:t>1-001-01</w:t>
                  </w:r>
                </w:p>
              </w:tc>
              <w:tc>
                <w:tcPr>
                  <w:tcW w:w="513" w:type="pct"/>
                  <w:vMerge w:val="restart"/>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38.325</w:t>
                  </w:r>
                </w:p>
              </w:tc>
              <w:tc>
                <w:tcPr>
                  <w:tcW w:w="586" w:type="pct"/>
                  <w:vMerge w:val="restart"/>
                  <w:shd w:val="clear" w:color="auto" w:fill="auto"/>
                  <w:noWrap w:val="0"/>
                  <w:vAlign w:val="center"/>
                </w:tcPr>
                <w:p>
                  <w:pPr>
                    <w:autoSpaceDE w:val="0"/>
                    <w:autoSpaceDN w:val="0"/>
                    <w:adjustRightInd w:val="0"/>
                    <w:jc w:val="center"/>
                    <w:rPr>
                      <w:color w:val="auto"/>
                      <w:szCs w:val="21"/>
                    </w:rPr>
                  </w:pPr>
                  <w:r>
                    <w:rPr>
                      <w:color w:val="auto"/>
                      <w:szCs w:val="21"/>
                    </w:rPr>
                    <w:t>暂存于医</w:t>
                  </w:r>
                  <w:r>
                    <w:rPr>
                      <w:rFonts w:hint="eastAsia"/>
                      <w:color w:val="auto"/>
                      <w:szCs w:val="21"/>
                    </w:rPr>
                    <w:t>疗</w:t>
                  </w:r>
                  <w:r>
                    <w:rPr>
                      <w:color w:val="auto"/>
                      <w:szCs w:val="21"/>
                    </w:rPr>
                    <w:t>废</w:t>
                  </w:r>
                  <w:r>
                    <w:rPr>
                      <w:rFonts w:hint="eastAsia"/>
                      <w:color w:val="auto"/>
                      <w:szCs w:val="21"/>
                    </w:rPr>
                    <w:t>物暂存</w:t>
                  </w:r>
                  <w:r>
                    <w:rPr>
                      <w:color w:val="auto"/>
                      <w:szCs w:val="21"/>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vMerge w:val="continue"/>
                  <w:shd w:val="clear" w:color="auto" w:fill="auto"/>
                  <w:noWrap w:val="0"/>
                  <w:vAlign w:val="center"/>
                </w:tcPr>
                <w:p>
                  <w:pPr>
                    <w:autoSpaceDE w:val="0"/>
                    <w:autoSpaceDN w:val="0"/>
                    <w:adjustRightInd w:val="0"/>
                    <w:jc w:val="center"/>
                    <w:rPr>
                      <w:color w:val="auto"/>
                      <w:szCs w:val="21"/>
                    </w:rPr>
                  </w:pPr>
                </w:p>
              </w:tc>
              <w:tc>
                <w:tcPr>
                  <w:tcW w:w="370" w:type="pct"/>
                  <w:shd w:val="clear" w:color="auto" w:fill="auto"/>
                  <w:noWrap w:val="0"/>
                  <w:vAlign w:val="center"/>
                </w:tcPr>
                <w:p>
                  <w:pPr>
                    <w:autoSpaceDE w:val="0"/>
                    <w:autoSpaceDN w:val="0"/>
                    <w:adjustRightInd w:val="0"/>
                    <w:jc w:val="center"/>
                    <w:rPr>
                      <w:color w:val="auto"/>
                      <w:szCs w:val="21"/>
                    </w:rPr>
                  </w:pPr>
                  <w:r>
                    <w:rPr>
                      <w:color w:val="auto"/>
                      <w:szCs w:val="21"/>
                    </w:rPr>
                    <w:t>损伤性</w:t>
                  </w:r>
                </w:p>
              </w:tc>
              <w:tc>
                <w:tcPr>
                  <w:tcW w:w="629" w:type="pct"/>
                  <w:shd w:val="clear" w:color="auto" w:fill="auto"/>
                  <w:noWrap w:val="0"/>
                  <w:vAlign w:val="center"/>
                </w:tcPr>
                <w:p>
                  <w:pPr>
                    <w:autoSpaceDE w:val="0"/>
                    <w:autoSpaceDN w:val="0"/>
                    <w:adjustRightInd w:val="0"/>
                    <w:jc w:val="center"/>
                    <w:rPr>
                      <w:color w:val="auto"/>
                      <w:szCs w:val="21"/>
                    </w:rPr>
                  </w:pPr>
                  <w:r>
                    <w:rPr>
                      <w:bCs/>
                      <w:color w:val="auto"/>
                      <w:szCs w:val="21"/>
                    </w:rPr>
                    <w:t>一次性</w:t>
                  </w:r>
                  <w:r>
                    <w:rPr>
                      <w:color w:val="auto"/>
                      <w:szCs w:val="21"/>
                    </w:rPr>
                    <w:t>针头、载玻片等</w:t>
                  </w:r>
                </w:p>
              </w:tc>
              <w:tc>
                <w:tcPr>
                  <w:tcW w:w="382" w:type="pct"/>
                  <w:shd w:val="clear" w:color="auto" w:fill="auto"/>
                  <w:noWrap w:val="0"/>
                  <w:vAlign w:val="center"/>
                </w:tcPr>
                <w:p>
                  <w:pPr>
                    <w:autoSpaceDE w:val="0"/>
                    <w:autoSpaceDN w:val="0"/>
                    <w:adjustRightInd w:val="0"/>
                    <w:jc w:val="center"/>
                    <w:rPr>
                      <w:color w:val="auto"/>
                      <w:szCs w:val="21"/>
                    </w:rPr>
                  </w:pPr>
                  <w:r>
                    <w:rPr>
                      <w:color w:val="auto"/>
                      <w:szCs w:val="21"/>
                    </w:rPr>
                    <w:t>固态</w:t>
                  </w:r>
                </w:p>
              </w:tc>
              <w:tc>
                <w:tcPr>
                  <w:tcW w:w="493" w:type="pct"/>
                  <w:vMerge w:val="continue"/>
                  <w:shd w:val="clear" w:color="auto" w:fill="auto"/>
                  <w:noWrap w:val="0"/>
                  <w:vAlign w:val="center"/>
                </w:tcPr>
                <w:p>
                  <w:pPr>
                    <w:autoSpaceDE w:val="0"/>
                    <w:autoSpaceDN w:val="0"/>
                    <w:adjustRightInd w:val="0"/>
                    <w:jc w:val="center"/>
                    <w:rPr>
                      <w:color w:val="auto"/>
                      <w:szCs w:val="21"/>
                    </w:rPr>
                  </w:pPr>
                </w:p>
              </w:tc>
              <w:tc>
                <w:tcPr>
                  <w:tcW w:w="550" w:type="pct"/>
                  <w:shd w:val="clear" w:color="auto" w:fill="auto"/>
                  <w:noWrap w:val="0"/>
                  <w:vAlign w:val="center"/>
                </w:tcPr>
                <w:p>
                  <w:pPr>
                    <w:autoSpaceDE w:val="0"/>
                    <w:autoSpaceDN w:val="0"/>
                    <w:adjustRightInd w:val="0"/>
                    <w:jc w:val="center"/>
                    <w:rPr>
                      <w:color w:val="auto"/>
                      <w:szCs w:val="21"/>
                    </w:rPr>
                  </w:pPr>
                  <w:r>
                    <w:rPr>
                      <w:color w:val="auto"/>
                      <w:szCs w:val="21"/>
                    </w:rPr>
                    <w:t>In</w:t>
                  </w:r>
                </w:p>
              </w:tc>
              <w:tc>
                <w:tcPr>
                  <w:tcW w:w="496" w:type="pct"/>
                  <w:vMerge w:val="continue"/>
                  <w:shd w:val="clear" w:color="auto" w:fill="auto"/>
                  <w:noWrap w:val="0"/>
                  <w:vAlign w:val="center"/>
                </w:tcPr>
                <w:p>
                  <w:pPr>
                    <w:autoSpaceDE w:val="0"/>
                    <w:autoSpaceDN w:val="0"/>
                    <w:adjustRightInd w:val="0"/>
                    <w:jc w:val="center"/>
                    <w:rPr>
                      <w:color w:val="auto"/>
                      <w:szCs w:val="21"/>
                    </w:rPr>
                  </w:pPr>
                </w:p>
              </w:tc>
              <w:tc>
                <w:tcPr>
                  <w:tcW w:w="705" w:type="pct"/>
                  <w:shd w:val="clear" w:color="auto" w:fill="auto"/>
                  <w:noWrap w:val="0"/>
                  <w:vAlign w:val="center"/>
                </w:tcPr>
                <w:p>
                  <w:pPr>
                    <w:autoSpaceDE w:val="0"/>
                    <w:autoSpaceDN w:val="0"/>
                    <w:adjustRightInd w:val="0"/>
                    <w:jc w:val="center"/>
                    <w:rPr>
                      <w:color w:val="auto"/>
                      <w:szCs w:val="21"/>
                    </w:rPr>
                  </w:pPr>
                  <w:r>
                    <w:rPr>
                      <w:color w:val="auto"/>
                      <w:szCs w:val="21"/>
                    </w:rPr>
                    <w:t>8</w:t>
                  </w:r>
                  <w:r>
                    <w:rPr>
                      <w:rFonts w:hint="eastAsia"/>
                      <w:color w:val="auto"/>
                      <w:szCs w:val="21"/>
                    </w:rPr>
                    <w:t>4</w:t>
                  </w:r>
                  <w:r>
                    <w:rPr>
                      <w:color w:val="auto"/>
                      <w:szCs w:val="21"/>
                    </w:rPr>
                    <w:t>1-002-01</w:t>
                  </w:r>
                </w:p>
              </w:tc>
              <w:tc>
                <w:tcPr>
                  <w:tcW w:w="513" w:type="pct"/>
                  <w:vMerge w:val="continue"/>
                  <w:shd w:val="clear" w:color="auto" w:fill="auto"/>
                  <w:noWrap w:val="0"/>
                  <w:vAlign w:val="center"/>
                </w:tcPr>
                <w:p>
                  <w:pPr>
                    <w:autoSpaceDE w:val="0"/>
                    <w:autoSpaceDN w:val="0"/>
                    <w:adjustRightInd w:val="0"/>
                    <w:jc w:val="center"/>
                    <w:rPr>
                      <w:color w:val="auto"/>
                      <w:szCs w:val="21"/>
                    </w:rPr>
                  </w:pPr>
                </w:p>
              </w:tc>
              <w:tc>
                <w:tcPr>
                  <w:tcW w:w="586" w:type="pct"/>
                  <w:vMerge w:val="continue"/>
                  <w:shd w:val="clear" w:color="auto" w:fill="auto"/>
                  <w:noWrap w:val="0"/>
                  <w:vAlign w:val="center"/>
                </w:tcPr>
                <w:p>
                  <w:pPr>
                    <w:autoSpaceDE w:val="0"/>
                    <w:autoSpaceDN w:val="0"/>
                    <w:adjustRightIn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72" w:type="pct"/>
                  <w:vMerge w:val="continue"/>
                  <w:shd w:val="clear" w:color="auto" w:fill="auto"/>
                  <w:noWrap w:val="0"/>
                  <w:vAlign w:val="center"/>
                </w:tcPr>
                <w:p>
                  <w:pPr>
                    <w:autoSpaceDE w:val="0"/>
                    <w:autoSpaceDN w:val="0"/>
                    <w:adjustRightInd w:val="0"/>
                    <w:jc w:val="center"/>
                    <w:rPr>
                      <w:color w:val="auto"/>
                      <w:szCs w:val="21"/>
                    </w:rPr>
                  </w:pPr>
                </w:p>
              </w:tc>
              <w:tc>
                <w:tcPr>
                  <w:tcW w:w="370" w:type="pct"/>
                  <w:shd w:val="clear" w:color="auto" w:fill="auto"/>
                  <w:noWrap w:val="0"/>
                  <w:vAlign w:val="center"/>
                </w:tcPr>
                <w:p>
                  <w:pPr>
                    <w:autoSpaceDE w:val="0"/>
                    <w:autoSpaceDN w:val="0"/>
                    <w:adjustRightInd w:val="0"/>
                    <w:jc w:val="center"/>
                    <w:rPr>
                      <w:color w:val="auto"/>
                      <w:szCs w:val="21"/>
                    </w:rPr>
                  </w:pPr>
                  <w:r>
                    <w:rPr>
                      <w:color w:val="auto"/>
                      <w:szCs w:val="21"/>
                    </w:rPr>
                    <w:t>药物性</w:t>
                  </w:r>
                </w:p>
              </w:tc>
              <w:tc>
                <w:tcPr>
                  <w:tcW w:w="629" w:type="pct"/>
                  <w:shd w:val="clear" w:color="auto" w:fill="auto"/>
                  <w:noWrap w:val="0"/>
                  <w:vAlign w:val="center"/>
                </w:tcPr>
                <w:p>
                  <w:pPr>
                    <w:autoSpaceDE w:val="0"/>
                    <w:autoSpaceDN w:val="0"/>
                    <w:adjustRightInd w:val="0"/>
                    <w:jc w:val="center"/>
                    <w:rPr>
                      <w:color w:val="auto"/>
                      <w:szCs w:val="21"/>
                    </w:rPr>
                  </w:pPr>
                  <w:r>
                    <w:rPr>
                      <w:color w:val="auto"/>
                      <w:szCs w:val="21"/>
                    </w:rPr>
                    <w:t>废弃药品</w:t>
                  </w:r>
                </w:p>
              </w:tc>
              <w:tc>
                <w:tcPr>
                  <w:tcW w:w="382" w:type="pct"/>
                  <w:shd w:val="clear" w:color="auto" w:fill="auto"/>
                  <w:noWrap w:val="0"/>
                  <w:vAlign w:val="center"/>
                </w:tcPr>
                <w:p>
                  <w:pPr>
                    <w:autoSpaceDE w:val="0"/>
                    <w:autoSpaceDN w:val="0"/>
                    <w:adjustRightInd w:val="0"/>
                    <w:jc w:val="center"/>
                    <w:rPr>
                      <w:color w:val="auto"/>
                      <w:szCs w:val="21"/>
                    </w:rPr>
                  </w:pPr>
                  <w:r>
                    <w:rPr>
                      <w:color w:val="auto"/>
                      <w:szCs w:val="21"/>
                    </w:rPr>
                    <w:t>固态</w:t>
                  </w:r>
                </w:p>
              </w:tc>
              <w:tc>
                <w:tcPr>
                  <w:tcW w:w="493" w:type="pct"/>
                  <w:vMerge w:val="continue"/>
                  <w:shd w:val="clear" w:color="auto" w:fill="auto"/>
                  <w:noWrap w:val="0"/>
                  <w:vAlign w:val="center"/>
                </w:tcPr>
                <w:p>
                  <w:pPr>
                    <w:autoSpaceDE w:val="0"/>
                    <w:autoSpaceDN w:val="0"/>
                    <w:adjustRightInd w:val="0"/>
                    <w:jc w:val="center"/>
                    <w:rPr>
                      <w:color w:val="auto"/>
                      <w:szCs w:val="21"/>
                    </w:rPr>
                  </w:pPr>
                </w:p>
              </w:tc>
              <w:tc>
                <w:tcPr>
                  <w:tcW w:w="550" w:type="pct"/>
                  <w:shd w:val="clear" w:color="auto" w:fill="auto"/>
                  <w:noWrap w:val="0"/>
                  <w:vAlign w:val="center"/>
                </w:tcPr>
                <w:p>
                  <w:pPr>
                    <w:autoSpaceDE w:val="0"/>
                    <w:autoSpaceDN w:val="0"/>
                    <w:adjustRightInd w:val="0"/>
                    <w:jc w:val="center"/>
                    <w:rPr>
                      <w:color w:val="auto"/>
                      <w:szCs w:val="21"/>
                    </w:rPr>
                  </w:pPr>
                  <w:r>
                    <w:rPr>
                      <w:color w:val="auto"/>
                      <w:szCs w:val="21"/>
                    </w:rPr>
                    <w:t>T</w:t>
                  </w:r>
                </w:p>
              </w:tc>
              <w:tc>
                <w:tcPr>
                  <w:tcW w:w="496" w:type="pct"/>
                  <w:vMerge w:val="continue"/>
                  <w:shd w:val="clear" w:color="auto" w:fill="auto"/>
                  <w:noWrap w:val="0"/>
                  <w:vAlign w:val="center"/>
                </w:tcPr>
                <w:p>
                  <w:pPr>
                    <w:autoSpaceDE w:val="0"/>
                    <w:autoSpaceDN w:val="0"/>
                    <w:adjustRightInd w:val="0"/>
                    <w:jc w:val="center"/>
                    <w:rPr>
                      <w:color w:val="auto"/>
                      <w:szCs w:val="21"/>
                    </w:rPr>
                  </w:pPr>
                </w:p>
              </w:tc>
              <w:tc>
                <w:tcPr>
                  <w:tcW w:w="705" w:type="pct"/>
                  <w:shd w:val="clear" w:color="auto" w:fill="auto"/>
                  <w:noWrap w:val="0"/>
                  <w:vAlign w:val="center"/>
                </w:tcPr>
                <w:p>
                  <w:pPr>
                    <w:autoSpaceDE w:val="0"/>
                    <w:autoSpaceDN w:val="0"/>
                    <w:adjustRightInd w:val="0"/>
                    <w:jc w:val="center"/>
                    <w:rPr>
                      <w:color w:val="auto"/>
                      <w:szCs w:val="21"/>
                    </w:rPr>
                  </w:pPr>
                  <w:r>
                    <w:rPr>
                      <w:color w:val="auto"/>
                      <w:szCs w:val="21"/>
                    </w:rPr>
                    <w:t>8</w:t>
                  </w:r>
                  <w:r>
                    <w:rPr>
                      <w:rFonts w:hint="eastAsia"/>
                      <w:color w:val="auto"/>
                      <w:szCs w:val="21"/>
                    </w:rPr>
                    <w:t>4</w:t>
                  </w:r>
                  <w:r>
                    <w:rPr>
                      <w:color w:val="auto"/>
                      <w:szCs w:val="21"/>
                    </w:rPr>
                    <w:t>1-005-01</w:t>
                  </w:r>
                </w:p>
              </w:tc>
              <w:tc>
                <w:tcPr>
                  <w:tcW w:w="513" w:type="pct"/>
                  <w:vMerge w:val="continue"/>
                  <w:shd w:val="clear" w:color="auto" w:fill="auto"/>
                  <w:noWrap w:val="0"/>
                  <w:vAlign w:val="center"/>
                </w:tcPr>
                <w:p>
                  <w:pPr>
                    <w:autoSpaceDE w:val="0"/>
                    <w:autoSpaceDN w:val="0"/>
                    <w:adjustRightInd w:val="0"/>
                    <w:jc w:val="center"/>
                    <w:rPr>
                      <w:color w:val="auto"/>
                      <w:szCs w:val="21"/>
                    </w:rPr>
                  </w:pPr>
                </w:p>
              </w:tc>
              <w:tc>
                <w:tcPr>
                  <w:tcW w:w="586" w:type="pct"/>
                  <w:vMerge w:val="continue"/>
                  <w:shd w:val="clear" w:color="auto" w:fill="auto"/>
                  <w:noWrap w:val="0"/>
                  <w:vAlign w:val="center"/>
                </w:tcPr>
                <w:p>
                  <w:pPr>
                    <w:autoSpaceDE w:val="0"/>
                    <w:autoSpaceDN w:val="0"/>
                    <w:adjustRightIn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shd w:val="clear" w:color="auto" w:fill="auto"/>
                  <w:noWrap w:val="0"/>
                  <w:vAlign w:val="center"/>
                </w:tcPr>
                <w:p>
                  <w:pPr>
                    <w:autoSpaceDE w:val="0"/>
                    <w:autoSpaceDN w:val="0"/>
                    <w:adjustRightInd w:val="0"/>
                    <w:jc w:val="center"/>
                    <w:rPr>
                      <w:color w:val="auto"/>
                      <w:szCs w:val="21"/>
                    </w:rPr>
                  </w:pPr>
                  <w:r>
                    <w:rPr>
                      <w:rFonts w:hint="eastAsia"/>
                      <w:bCs/>
                      <w:color w:val="auto"/>
                      <w:szCs w:val="21"/>
                      <w:lang w:val="en-US" w:eastAsia="zh-CN"/>
                    </w:rPr>
                    <w:t>污水处理站</w:t>
                  </w:r>
                  <w:r>
                    <w:rPr>
                      <w:bCs/>
                      <w:color w:val="auto"/>
                      <w:szCs w:val="21"/>
                    </w:rPr>
                    <w:t>污泥</w:t>
                  </w:r>
                </w:p>
              </w:tc>
              <w:tc>
                <w:tcPr>
                  <w:tcW w:w="629" w:type="pct"/>
                  <w:shd w:val="clear" w:color="auto" w:fill="auto"/>
                  <w:noWrap w:val="0"/>
                  <w:vAlign w:val="center"/>
                </w:tcPr>
                <w:p>
                  <w:pPr>
                    <w:autoSpaceDE w:val="0"/>
                    <w:autoSpaceDN w:val="0"/>
                    <w:adjustRightInd w:val="0"/>
                    <w:jc w:val="center"/>
                    <w:rPr>
                      <w:color w:val="auto"/>
                      <w:szCs w:val="21"/>
                    </w:rPr>
                  </w:pPr>
                  <w:r>
                    <w:rPr>
                      <w:bCs/>
                      <w:color w:val="auto"/>
                      <w:szCs w:val="21"/>
                    </w:rPr>
                    <w:t>污泥</w:t>
                  </w:r>
                </w:p>
              </w:tc>
              <w:tc>
                <w:tcPr>
                  <w:tcW w:w="382" w:type="pct"/>
                  <w:shd w:val="clear" w:color="auto" w:fill="auto"/>
                  <w:noWrap w:val="0"/>
                  <w:vAlign w:val="center"/>
                </w:tcPr>
                <w:p>
                  <w:pPr>
                    <w:autoSpaceDE w:val="0"/>
                    <w:autoSpaceDN w:val="0"/>
                    <w:adjustRightInd w:val="0"/>
                    <w:jc w:val="center"/>
                    <w:rPr>
                      <w:color w:val="auto"/>
                      <w:szCs w:val="21"/>
                    </w:rPr>
                  </w:pPr>
                  <w:r>
                    <w:rPr>
                      <w:bCs/>
                      <w:color w:val="auto"/>
                      <w:szCs w:val="21"/>
                    </w:rPr>
                    <w:t>半固态</w:t>
                  </w:r>
                </w:p>
              </w:tc>
              <w:tc>
                <w:tcPr>
                  <w:tcW w:w="493" w:type="pct"/>
                  <w:vMerge w:val="continue"/>
                  <w:shd w:val="clear" w:color="auto" w:fill="auto"/>
                  <w:noWrap w:val="0"/>
                  <w:vAlign w:val="center"/>
                </w:tcPr>
                <w:p>
                  <w:pPr>
                    <w:autoSpaceDE w:val="0"/>
                    <w:autoSpaceDN w:val="0"/>
                    <w:adjustRightInd w:val="0"/>
                    <w:jc w:val="center"/>
                    <w:rPr>
                      <w:color w:val="auto"/>
                      <w:szCs w:val="21"/>
                    </w:rPr>
                  </w:pPr>
                </w:p>
              </w:tc>
              <w:tc>
                <w:tcPr>
                  <w:tcW w:w="550" w:type="pct"/>
                  <w:shd w:val="clear" w:color="auto" w:fill="auto"/>
                  <w:noWrap w:val="0"/>
                  <w:vAlign w:val="center"/>
                </w:tcPr>
                <w:p>
                  <w:pPr>
                    <w:autoSpaceDE w:val="0"/>
                    <w:autoSpaceDN w:val="0"/>
                    <w:adjustRightInd w:val="0"/>
                    <w:jc w:val="center"/>
                    <w:rPr>
                      <w:color w:val="auto"/>
                      <w:szCs w:val="21"/>
                    </w:rPr>
                  </w:pPr>
                  <w:r>
                    <w:rPr>
                      <w:color w:val="auto"/>
                      <w:szCs w:val="21"/>
                    </w:rPr>
                    <w:t>In</w:t>
                  </w:r>
                </w:p>
              </w:tc>
              <w:tc>
                <w:tcPr>
                  <w:tcW w:w="496" w:type="pct"/>
                  <w:shd w:val="clear" w:color="auto" w:fill="auto"/>
                  <w:noWrap w:val="0"/>
                  <w:vAlign w:val="center"/>
                </w:tcPr>
                <w:p>
                  <w:pPr>
                    <w:autoSpaceDE w:val="0"/>
                    <w:autoSpaceDN w:val="0"/>
                    <w:adjustRightInd w:val="0"/>
                    <w:jc w:val="center"/>
                    <w:rPr>
                      <w:color w:val="auto"/>
                      <w:szCs w:val="21"/>
                    </w:rPr>
                  </w:pPr>
                  <w:r>
                    <w:rPr>
                      <w:color w:val="auto"/>
                      <w:szCs w:val="21"/>
                    </w:rPr>
                    <w:t>HW01</w:t>
                  </w:r>
                </w:p>
              </w:tc>
              <w:tc>
                <w:tcPr>
                  <w:tcW w:w="705" w:type="pct"/>
                  <w:shd w:val="clear" w:color="auto" w:fill="auto"/>
                  <w:noWrap w:val="0"/>
                  <w:vAlign w:val="center"/>
                </w:tcPr>
                <w:p>
                  <w:pPr>
                    <w:autoSpaceDE w:val="0"/>
                    <w:autoSpaceDN w:val="0"/>
                    <w:adjustRightInd w:val="0"/>
                    <w:jc w:val="center"/>
                    <w:rPr>
                      <w:color w:val="auto"/>
                      <w:szCs w:val="21"/>
                    </w:rPr>
                  </w:pPr>
                  <w:r>
                    <w:rPr>
                      <w:bCs/>
                      <w:color w:val="auto"/>
                      <w:szCs w:val="21"/>
                    </w:rPr>
                    <w:t>8</w:t>
                  </w:r>
                  <w:r>
                    <w:rPr>
                      <w:rFonts w:hint="eastAsia"/>
                      <w:bCs/>
                      <w:color w:val="auto"/>
                      <w:szCs w:val="21"/>
                    </w:rPr>
                    <w:t>4</w:t>
                  </w:r>
                  <w:r>
                    <w:rPr>
                      <w:bCs/>
                      <w:color w:val="auto"/>
                      <w:szCs w:val="21"/>
                    </w:rPr>
                    <w:t>1-001-01</w:t>
                  </w:r>
                </w:p>
              </w:tc>
              <w:tc>
                <w:tcPr>
                  <w:tcW w:w="513" w:type="pct"/>
                  <w:shd w:val="clear" w:color="auto" w:fill="auto"/>
                  <w:noWrap w:val="0"/>
                  <w:vAlign w:val="center"/>
                </w:tcPr>
                <w:p>
                  <w:pPr>
                    <w:autoSpaceDE w:val="0"/>
                    <w:autoSpaceDN w:val="0"/>
                    <w:adjustRightInd w:val="0"/>
                    <w:jc w:val="center"/>
                    <w:rPr>
                      <w:rFonts w:hint="default" w:eastAsia="宋体"/>
                      <w:color w:val="auto"/>
                      <w:szCs w:val="21"/>
                      <w:lang w:val="en-US" w:eastAsia="zh-CN"/>
                    </w:rPr>
                  </w:pPr>
                  <w:r>
                    <w:rPr>
                      <w:rFonts w:hint="eastAsia"/>
                      <w:color w:val="auto"/>
                      <w:szCs w:val="21"/>
                      <w:lang w:val="en-US" w:eastAsia="zh-CN"/>
                    </w:rPr>
                    <w:t>155</w:t>
                  </w:r>
                </w:p>
              </w:tc>
              <w:tc>
                <w:tcPr>
                  <w:tcW w:w="586" w:type="pct"/>
                  <w:shd w:val="clear" w:color="auto" w:fill="auto"/>
                  <w:noWrap w:val="0"/>
                  <w:vAlign w:val="center"/>
                </w:tcPr>
                <w:p>
                  <w:pPr>
                    <w:autoSpaceDE w:val="0"/>
                    <w:autoSpaceDN w:val="0"/>
                    <w:adjustRightInd w:val="0"/>
                    <w:jc w:val="center"/>
                    <w:rPr>
                      <w:color w:val="auto"/>
                      <w:szCs w:val="21"/>
                    </w:rPr>
                  </w:pPr>
                  <w:r>
                    <w:rPr>
                      <w:color w:val="auto"/>
                      <w:szCs w:val="21"/>
                    </w:rPr>
                    <w:t>消毒处理后交由有资质单位处置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shd w:val="clear" w:color="auto" w:fill="auto"/>
                  <w:noWrap w:val="0"/>
                  <w:vAlign w:val="center"/>
                </w:tcPr>
                <w:p>
                  <w:pPr>
                    <w:autoSpaceDE w:val="0"/>
                    <w:autoSpaceDN w:val="0"/>
                    <w:adjustRightInd w:val="0"/>
                    <w:jc w:val="center"/>
                    <w:rPr>
                      <w:bCs/>
                      <w:color w:val="auto"/>
                      <w:szCs w:val="21"/>
                    </w:rPr>
                  </w:pPr>
                  <w:r>
                    <w:rPr>
                      <w:rFonts w:hint="eastAsia"/>
                      <w:bCs/>
                      <w:color w:val="auto"/>
                      <w:szCs w:val="21"/>
                    </w:rPr>
                    <w:t>输液瓶（袋）</w:t>
                  </w:r>
                </w:p>
              </w:tc>
              <w:tc>
                <w:tcPr>
                  <w:tcW w:w="629" w:type="pct"/>
                  <w:shd w:val="clear" w:color="auto" w:fill="auto"/>
                  <w:noWrap w:val="0"/>
                  <w:vAlign w:val="center"/>
                </w:tcPr>
                <w:p>
                  <w:pPr>
                    <w:autoSpaceDE w:val="0"/>
                    <w:autoSpaceDN w:val="0"/>
                    <w:adjustRightInd w:val="0"/>
                    <w:jc w:val="center"/>
                    <w:rPr>
                      <w:bCs/>
                      <w:color w:val="auto"/>
                      <w:szCs w:val="21"/>
                    </w:rPr>
                  </w:pPr>
                  <w:r>
                    <w:rPr>
                      <w:rFonts w:hint="eastAsia"/>
                      <w:bCs/>
                      <w:color w:val="auto"/>
                      <w:szCs w:val="21"/>
                    </w:rPr>
                    <w:t>输液瓶（袋）</w:t>
                  </w:r>
                </w:p>
              </w:tc>
              <w:tc>
                <w:tcPr>
                  <w:tcW w:w="382" w:type="pct"/>
                  <w:shd w:val="clear" w:color="auto" w:fill="auto"/>
                  <w:noWrap w:val="0"/>
                  <w:vAlign w:val="center"/>
                </w:tcPr>
                <w:p>
                  <w:pPr>
                    <w:autoSpaceDE w:val="0"/>
                    <w:autoSpaceDN w:val="0"/>
                    <w:adjustRightInd w:val="0"/>
                    <w:jc w:val="center"/>
                    <w:rPr>
                      <w:bCs/>
                      <w:color w:val="auto"/>
                      <w:szCs w:val="21"/>
                    </w:rPr>
                  </w:pPr>
                  <w:r>
                    <w:rPr>
                      <w:color w:val="auto"/>
                      <w:szCs w:val="21"/>
                    </w:rPr>
                    <w:t>固态</w:t>
                  </w:r>
                </w:p>
              </w:tc>
              <w:tc>
                <w:tcPr>
                  <w:tcW w:w="493" w:type="pct"/>
                  <w:shd w:val="clear" w:color="auto" w:fill="auto"/>
                  <w:noWrap w:val="0"/>
                  <w:vAlign w:val="center"/>
                </w:tcPr>
                <w:p>
                  <w:pPr>
                    <w:autoSpaceDE w:val="0"/>
                    <w:autoSpaceDN w:val="0"/>
                    <w:adjustRightInd w:val="0"/>
                    <w:jc w:val="center"/>
                    <w:rPr>
                      <w:color w:val="auto"/>
                      <w:szCs w:val="21"/>
                    </w:rPr>
                  </w:pPr>
                  <w:r>
                    <w:rPr>
                      <w:color w:val="auto"/>
                      <w:szCs w:val="21"/>
                    </w:rPr>
                    <w:t>一般废物</w:t>
                  </w:r>
                </w:p>
              </w:tc>
              <w:tc>
                <w:tcPr>
                  <w:tcW w:w="550" w:type="pct"/>
                  <w:shd w:val="clear" w:color="auto" w:fill="auto"/>
                  <w:noWrap w:val="0"/>
                  <w:vAlign w:val="center"/>
                </w:tcPr>
                <w:p>
                  <w:pPr>
                    <w:autoSpaceDE w:val="0"/>
                    <w:autoSpaceDN w:val="0"/>
                    <w:adjustRightInd w:val="0"/>
                    <w:jc w:val="center"/>
                    <w:rPr>
                      <w:color w:val="auto"/>
                      <w:szCs w:val="21"/>
                    </w:rPr>
                  </w:pPr>
                  <w:r>
                    <w:rPr>
                      <w:color w:val="auto"/>
                      <w:szCs w:val="21"/>
                    </w:rPr>
                    <w:t>/</w:t>
                  </w:r>
                </w:p>
              </w:tc>
              <w:tc>
                <w:tcPr>
                  <w:tcW w:w="496" w:type="pct"/>
                  <w:shd w:val="clear" w:color="auto" w:fill="auto"/>
                  <w:noWrap w:val="0"/>
                  <w:vAlign w:val="center"/>
                </w:tcPr>
                <w:p>
                  <w:pPr>
                    <w:autoSpaceDE w:val="0"/>
                    <w:autoSpaceDN w:val="0"/>
                    <w:adjustRightInd w:val="0"/>
                    <w:jc w:val="center"/>
                    <w:rPr>
                      <w:color w:val="auto"/>
                      <w:szCs w:val="21"/>
                    </w:rPr>
                  </w:pPr>
                  <w:r>
                    <w:rPr>
                      <w:color w:val="auto"/>
                      <w:szCs w:val="21"/>
                    </w:rPr>
                    <w:t>/</w:t>
                  </w:r>
                </w:p>
              </w:tc>
              <w:tc>
                <w:tcPr>
                  <w:tcW w:w="705" w:type="pct"/>
                  <w:shd w:val="clear" w:color="auto" w:fill="auto"/>
                  <w:noWrap w:val="0"/>
                  <w:vAlign w:val="center"/>
                </w:tcPr>
                <w:p>
                  <w:pPr>
                    <w:autoSpaceDE w:val="0"/>
                    <w:autoSpaceDN w:val="0"/>
                    <w:adjustRightInd w:val="0"/>
                    <w:jc w:val="center"/>
                    <w:rPr>
                      <w:bCs/>
                      <w:color w:val="auto"/>
                      <w:szCs w:val="21"/>
                    </w:rPr>
                  </w:pPr>
                  <w:r>
                    <w:rPr>
                      <w:color w:val="auto"/>
                      <w:szCs w:val="21"/>
                    </w:rPr>
                    <w:t>/</w:t>
                  </w:r>
                </w:p>
              </w:tc>
              <w:tc>
                <w:tcPr>
                  <w:tcW w:w="513" w:type="pct"/>
                  <w:shd w:val="clear" w:color="auto" w:fill="auto"/>
                  <w:noWrap w:val="0"/>
                  <w:vAlign w:val="center"/>
                </w:tcPr>
                <w:p>
                  <w:pPr>
                    <w:autoSpaceDE w:val="0"/>
                    <w:autoSpaceDN w:val="0"/>
                    <w:adjustRightInd w:val="0"/>
                    <w:jc w:val="center"/>
                    <w:rPr>
                      <w:color w:val="auto"/>
                      <w:szCs w:val="21"/>
                    </w:rPr>
                  </w:pPr>
                  <w:r>
                    <w:rPr>
                      <w:rFonts w:hint="eastAsia"/>
                      <w:color w:val="auto"/>
                      <w:szCs w:val="21"/>
                    </w:rPr>
                    <w:t>1</w:t>
                  </w:r>
                </w:p>
              </w:tc>
              <w:tc>
                <w:tcPr>
                  <w:tcW w:w="586" w:type="pct"/>
                  <w:shd w:val="clear" w:color="auto" w:fill="auto"/>
                  <w:noWrap w:val="0"/>
                  <w:vAlign w:val="center"/>
                </w:tcPr>
                <w:p>
                  <w:pPr>
                    <w:autoSpaceDE w:val="0"/>
                    <w:autoSpaceDN w:val="0"/>
                    <w:adjustRightInd w:val="0"/>
                    <w:jc w:val="center"/>
                    <w:rPr>
                      <w:color w:val="auto"/>
                      <w:szCs w:val="21"/>
                    </w:rPr>
                  </w:pPr>
                  <w:r>
                    <w:rPr>
                      <w:rFonts w:hint="eastAsia"/>
                      <w:color w:val="auto"/>
                      <w:szCs w:val="21"/>
                    </w:rPr>
                    <w:t>定期交由有资质的单位回收利用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vMerge w:val="restart"/>
                  <w:shd w:val="clear" w:color="auto" w:fill="auto"/>
                  <w:noWrap w:val="0"/>
                  <w:vAlign w:val="center"/>
                </w:tcPr>
                <w:p>
                  <w:pPr>
                    <w:autoSpaceDE w:val="0"/>
                    <w:autoSpaceDN w:val="0"/>
                    <w:adjustRightInd w:val="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废油脂</w:t>
                  </w:r>
                </w:p>
              </w:tc>
              <w:tc>
                <w:tcPr>
                  <w:tcW w:w="629" w:type="pct"/>
                  <w:shd w:val="clear" w:color="auto" w:fill="auto"/>
                  <w:noWrap w:val="0"/>
                  <w:vAlign w:val="center"/>
                </w:tcPr>
                <w:p>
                  <w:pPr>
                    <w:autoSpaceDE w:val="0"/>
                    <w:autoSpaceDN w:val="0"/>
                    <w:adjustRightInd w:val="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隔油池废油脂</w:t>
                  </w:r>
                </w:p>
              </w:tc>
              <w:tc>
                <w:tcPr>
                  <w:tcW w:w="382" w:type="pct"/>
                  <w:shd w:val="clear" w:color="auto" w:fill="auto"/>
                  <w:noWrap w:val="0"/>
                  <w:vAlign w:val="center"/>
                </w:tcPr>
                <w:p>
                  <w:pPr>
                    <w:autoSpaceDE w:val="0"/>
                    <w:autoSpaceDN w:val="0"/>
                    <w:adjustRightInd w:val="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固态</w:t>
                  </w:r>
                </w:p>
              </w:tc>
              <w:tc>
                <w:tcPr>
                  <w:tcW w:w="493"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一般废物</w:t>
                  </w:r>
                </w:p>
              </w:tc>
              <w:tc>
                <w:tcPr>
                  <w:tcW w:w="550"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496"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705" w:type="pct"/>
                  <w:shd w:val="clear" w:color="auto" w:fill="auto"/>
                  <w:noWrap w:val="0"/>
                  <w:vAlign w:val="center"/>
                </w:tcPr>
                <w:p>
                  <w:pPr>
                    <w:autoSpaceDE w:val="0"/>
                    <w:autoSpaceDN w:val="0"/>
                    <w:adjustRightInd w:val="0"/>
                    <w:jc w:val="center"/>
                    <w:rPr>
                      <w:rFonts w:ascii="Times New Roman" w:hAnsi="Times New Roman" w:eastAsia="宋体" w:cs="Times New Roman"/>
                      <w:bCs/>
                      <w:color w:val="FF0000"/>
                      <w:kern w:val="2"/>
                      <w:sz w:val="21"/>
                      <w:szCs w:val="21"/>
                      <w:lang w:val="en-US" w:eastAsia="zh-CN" w:bidi="ar-SA"/>
                    </w:rPr>
                  </w:pPr>
                  <w:r>
                    <w:rPr>
                      <w:color w:val="FF0000"/>
                      <w:szCs w:val="21"/>
                    </w:rPr>
                    <w:t>/</w:t>
                  </w:r>
                </w:p>
              </w:tc>
              <w:tc>
                <w:tcPr>
                  <w:tcW w:w="513" w:type="pct"/>
                  <w:shd w:val="clear" w:color="auto" w:fill="auto"/>
                  <w:noWrap w:val="0"/>
                  <w:vAlign w:val="center"/>
                </w:tcPr>
                <w:p>
                  <w:pPr>
                    <w:autoSpaceDE w:val="0"/>
                    <w:autoSpaceDN w:val="0"/>
                    <w:adjustRightInd w:val="0"/>
                    <w:jc w:val="center"/>
                    <w:rPr>
                      <w:rFonts w:hint="default" w:eastAsia="宋体"/>
                      <w:color w:val="FF0000"/>
                      <w:szCs w:val="21"/>
                      <w:lang w:val="en-US" w:eastAsia="zh-CN"/>
                    </w:rPr>
                  </w:pPr>
                  <w:r>
                    <w:rPr>
                      <w:rFonts w:hint="eastAsia"/>
                      <w:color w:val="FF0000"/>
                      <w:szCs w:val="21"/>
                      <w:lang w:val="en-US" w:eastAsia="zh-CN"/>
                    </w:rPr>
                    <w:t>0.12</w:t>
                  </w:r>
                </w:p>
              </w:tc>
              <w:tc>
                <w:tcPr>
                  <w:tcW w:w="586" w:type="pct"/>
                  <w:vMerge w:val="restart"/>
                  <w:shd w:val="clear" w:color="auto" w:fill="auto"/>
                  <w:noWrap w:val="0"/>
                  <w:vAlign w:val="center"/>
                </w:tcPr>
                <w:p>
                  <w:pPr>
                    <w:autoSpaceDE w:val="0"/>
                    <w:autoSpaceDN w:val="0"/>
                    <w:adjustRightInd w:val="0"/>
                    <w:jc w:val="center"/>
                    <w:rPr>
                      <w:rFonts w:hint="eastAsia" w:eastAsia="宋体"/>
                      <w:color w:val="FF0000"/>
                      <w:szCs w:val="21"/>
                      <w:lang w:val="en-US" w:eastAsia="zh-CN"/>
                    </w:rPr>
                  </w:pPr>
                  <w:r>
                    <w:rPr>
                      <w:rFonts w:hint="eastAsia"/>
                      <w:color w:val="FF0000"/>
                      <w:szCs w:val="21"/>
                    </w:rPr>
                    <w:t>定期交由有资质的餐厨垃圾处置单位</w:t>
                  </w:r>
                  <w:r>
                    <w:rPr>
                      <w:rFonts w:hint="eastAsia"/>
                      <w:color w:val="FF0000"/>
                      <w:szCs w:val="21"/>
                      <w:lang w:val="en-US" w:eastAsia="zh-CN"/>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vMerge w:val="continue"/>
                  <w:shd w:val="clear" w:color="auto" w:fill="auto"/>
                  <w:noWrap w:val="0"/>
                  <w:vAlign w:val="center"/>
                </w:tcPr>
                <w:p>
                  <w:pPr>
                    <w:autoSpaceDE w:val="0"/>
                    <w:autoSpaceDN w:val="0"/>
                    <w:adjustRightInd w:val="0"/>
                    <w:jc w:val="center"/>
                    <w:rPr>
                      <w:rFonts w:hint="default"/>
                      <w:bCs/>
                      <w:color w:val="FF0000"/>
                      <w:szCs w:val="21"/>
                      <w:lang w:val="en-US" w:eastAsia="zh-CN"/>
                    </w:rPr>
                  </w:pPr>
                </w:p>
              </w:tc>
              <w:tc>
                <w:tcPr>
                  <w:tcW w:w="629" w:type="pct"/>
                  <w:shd w:val="clear" w:color="auto" w:fill="auto"/>
                  <w:noWrap w:val="0"/>
                  <w:vAlign w:val="center"/>
                </w:tcPr>
                <w:p>
                  <w:pPr>
                    <w:autoSpaceDE w:val="0"/>
                    <w:autoSpaceDN w:val="0"/>
                    <w:adjustRightInd w:val="0"/>
                    <w:jc w:val="center"/>
                    <w:rPr>
                      <w:rFonts w:hint="default"/>
                      <w:bCs/>
                      <w:color w:val="FF0000"/>
                      <w:szCs w:val="21"/>
                      <w:lang w:val="en-US" w:eastAsia="zh-CN"/>
                    </w:rPr>
                  </w:pPr>
                  <w:r>
                    <w:rPr>
                      <w:rFonts w:hint="eastAsia"/>
                      <w:bCs/>
                      <w:color w:val="FF0000"/>
                      <w:szCs w:val="21"/>
                      <w:lang w:val="en-US" w:eastAsia="zh-CN"/>
                    </w:rPr>
                    <w:t>油烟净化器废油脂</w:t>
                  </w:r>
                </w:p>
              </w:tc>
              <w:tc>
                <w:tcPr>
                  <w:tcW w:w="382" w:type="pct"/>
                  <w:shd w:val="clear" w:color="auto" w:fill="auto"/>
                  <w:noWrap w:val="0"/>
                  <w:vAlign w:val="center"/>
                </w:tcPr>
                <w:p>
                  <w:pPr>
                    <w:autoSpaceDE w:val="0"/>
                    <w:autoSpaceDN w:val="0"/>
                    <w:adjustRightInd w:val="0"/>
                    <w:jc w:val="center"/>
                    <w:rPr>
                      <w:rFonts w:hint="default"/>
                      <w:bCs/>
                      <w:color w:val="FF0000"/>
                      <w:szCs w:val="21"/>
                      <w:lang w:val="en-US" w:eastAsia="zh-CN"/>
                    </w:rPr>
                  </w:pPr>
                  <w:r>
                    <w:rPr>
                      <w:rFonts w:hint="eastAsia"/>
                      <w:bCs/>
                      <w:color w:val="FF0000"/>
                      <w:szCs w:val="21"/>
                      <w:lang w:val="en-US" w:eastAsia="zh-CN"/>
                    </w:rPr>
                    <w:t>液态</w:t>
                  </w:r>
                </w:p>
              </w:tc>
              <w:tc>
                <w:tcPr>
                  <w:tcW w:w="493" w:type="pct"/>
                  <w:vMerge w:val="restart"/>
                  <w:shd w:val="clear" w:color="auto" w:fill="auto"/>
                  <w:noWrap w:val="0"/>
                  <w:vAlign w:val="center"/>
                </w:tcPr>
                <w:p>
                  <w:pPr>
                    <w:autoSpaceDE w:val="0"/>
                    <w:autoSpaceDN w:val="0"/>
                    <w:adjustRightInd w:val="0"/>
                    <w:jc w:val="center"/>
                    <w:rPr>
                      <w:color w:val="FF0000"/>
                      <w:szCs w:val="21"/>
                    </w:rPr>
                  </w:pPr>
                  <w:r>
                    <w:rPr>
                      <w:color w:val="FF0000"/>
                      <w:szCs w:val="21"/>
                    </w:rPr>
                    <w:t>一般废物</w:t>
                  </w:r>
                </w:p>
              </w:tc>
              <w:tc>
                <w:tcPr>
                  <w:tcW w:w="550"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496"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705"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513" w:type="pct"/>
                  <w:shd w:val="clear" w:color="auto" w:fill="auto"/>
                  <w:noWrap w:val="0"/>
                  <w:vAlign w:val="center"/>
                </w:tcPr>
                <w:p>
                  <w:pPr>
                    <w:autoSpaceDE w:val="0"/>
                    <w:autoSpaceDN w:val="0"/>
                    <w:adjustRightInd w:val="0"/>
                    <w:jc w:val="center"/>
                    <w:rPr>
                      <w:rFonts w:hint="default" w:ascii="Times New Roman" w:hAnsi="Times New Roman" w:eastAsia="宋体" w:cs="Times New Roman"/>
                      <w:color w:val="FF0000"/>
                      <w:kern w:val="2"/>
                      <w:sz w:val="21"/>
                      <w:szCs w:val="21"/>
                      <w:lang w:val="en-US" w:eastAsia="zh-CN" w:bidi="ar-SA"/>
                    </w:rPr>
                  </w:pPr>
                  <w:r>
                    <w:rPr>
                      <w:rFonts w:hint="eastAsia"/>
                      <w:color w:val="FF0000"/>
                      <w:szCs w:val="21"/>
                      <w:lang w:val="en-US" w:eastAsia="zh-CN"/>
                    </w:rPr>
                    <w:t>0.011</w:t>
                  </w:r>
                </w:p>
              </w:tc>
              <w:tc>
                <w:tcPr>
                  <w:tcW w:w="586" w:type="pct"/>
                  <w:vMerge w:val="continue"/>
                  <w:shd w:val="clear" w:color="auto" w:fill="auto"/>
                  <w:noWrap w:val="0"/>
                  <w:vAlign w:val="center"/>
                </w:tcPr>
                <w:p>
                  <w:pPr>
                    <w:autoSpaceDE w:val="0"/>
                    <w:autoSpaceDN w:val="0"/>
                    <w:adjustRightInd w:val="0"/>
                    <w:jc w:val="center"/>
                    <w:rPr>
                      <w:rFonts w:hint="eastAsia"/>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gridSpan w:val="2"/>
                  <w:vMerge w:val="continue"/>
                  <w:shd w:val="clear" w:color="auto" w:fill="auto"/>
                  <w:noWrap w:val="0"/>
                  <w:vAlign w:val="center"/>
                </w:tcPr>
                <w:p>
                  <w:pPr>
                    <w:autoSpaceDE w:val="0"/>
                    <w:autoSpaceDN w:val="0"/>
                    <w:adjustRightInd w:val="0"/>
                    <w:jc w:val="center"/>
                    <w:rPr>
                      <w:rFonts w:hint="eastAsia"/>
                      <w:bCs/>
                      <w:color w:val="FF0000"/>
                      <w:szCs w:val="21"/>
                      <w:lang w:val="en-US" w:eastAsia="zh-CN"/>
                    </w:rPr>
                  </w:pPr>
                </w:p>
              </w:tc>
              <w:tc>
                <w:tcPr>
                  <w:tcW w:w="629" w:type="pct"/>
                  <w:shd w:val="clear" w:color="auto" w:fill="auto"/>
                  <w:noWrap w:val="0"/>
                  <w:vAlign w:val="center"/>
                </w:tcPr>
                <w:p>
                  <w:pPr>
                    <w:autoSpaceDE w:val="0"/>
                    <w:autoSpaceDN w:val="0"/>
                    <w:adjustRightInd w:val="0"/>
                    <w:jc w:val="center"/>
                    <w:rPr>
                      <w:rFonts w:hint="default"/>
                      <w:bCs/>
                      <w:color w:val="FF0000"/>
                      <w:szCs w:val="21"/>
                      <w:lang w:val="en-US" w:eastAsia="zh-CN"/>
                    </w:rPr>
                  </w:pPr>
                  <w:r>
                    <w:rPr>
                      <w:rFonts w:hint="eastAsia"/>
                      <w:bCs/>
                      <w:color w:val="FF0000"/>
                      <w:szCs w:val="21"/>
                      <w:lang w:val="en-US" w:eastAsia="zh-CN"/>
                    </w:rPr>
                    <w:t>油烟净化器清洗废液</w:t>
                  </w:r>
                </w:p>
              </w:tc>
              <w:tc>
                <w:tcPr>
                  <w:tcW w:w="382" w:type="pct"/>
                  <w:shd w:val="clear" w:color="auto" w:fill="auto"/>
                  <w:noWrap w:val="0"/>
                  <w:vAlign w:val="center"/>
                </w:tcPr>
                <w:p>
                  <w:pPr>
                    <w:autoSpaceDE w:val="0"/>
                    <w:autoSpaceDN w:val="0"/>
                    <w:adjustRightInd w:val="0"/>
                    <w:jc w:val="center"/>
                    <w:rPr>
                      <w:rFonts w:hint="default"/>
                      <w:bCs/>
                      <w:color w:val="FF0000"/>
                      <w:szCs w:val="21"/>
                      <w:lang w:val="en-US" w:eastAsia="zh-CN"/>
                    </w:rPr>
                  </w:pPr>
                  <w:r>
                    <w:rPr>
                      <w:rFonts w:hint="eastAsia"/>
                      <w:bCs/>
                      <w:color w:val="FF0000"/>
                      <w:szCs w:val="21"/>
                      <w:lang w:val="en-US" w:eastAsia="zh-CN"/>
                    </w:rPr>
                    <w:t>液态</w:t>
                  </w:r>
                </w:p>
              </w:tc>
              <w:tc>
                <w:tcPr>
                  <w:tcW w:w="493" w:type="pct"/>
                  <w:vMerge w:val="continue"/>
                  <w:shd w:val="clear" w:color="auto" w:fill="auto"/>
                  <w:noWrap w:val="0"/>
                  <w:vAlign w:val="center"/>
                </w:tcPr>
                <w:p>
                  <w:pPr>
                    <w:autoSpaceDE w:val="0"/>
                    <w:autoSpaceDN w:val="0"/>
                    <w:adjustRightInd w:val="0"/>
                    <w:jc w:val="center"/>
                    <w:rPr>
                      <w:color w:val="FF0000"/>
                      <w:szCs w:val="21"/>
                    </w:rPr>
                  </w:pPr>
                </w:p>
              </w:tc>
              <w:tc>
                <w:tcPr>
                  <w:tcW w:w="550"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496"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705" w:type="pct"/>
                  <w:shd w:val="clear" w:color="auto" w:fill="auto"/>
                  <w:noWrap w:val="0"/>
                  <w:vAlign w:val="center"/>
                </w:tcPr>
                <w:p>
                  <w:pPr>
                    <w:autoSpaceDE w:val="0"/>
                    <w:autoSpaceDN w:val="0"/>
                    <w:adjustRightInd w:val="0"/>
                    <w:jc w:val="center"/>
                    <w:rPr>
                      <w:rFonts w:ascii="Times New Roman" w:hAnsi="Times New Roman" w:eastAsia="宋体" w:cs="Times New Roman"/>
                      <w:color w:val="FF0000"/>
                      <w:kern w:val="2"/>
                      <w:sz w:val="21"/>
                      <w:szCs w:val="21"/>
                      <w:lang w:val="en-US" w:eastAsia="zh-CN" w:bidi="ar-SA"/>
                    </w:rPr>
                  </w:pPr>
                  <w:r>
                    <w:rPr>
                      <w:color w:val="FF0000"/>
                      <w:szCs w:val="21"/>
                    </w:rPr>
                    <w:t>/</w:t>
                  </w:r>
                </w:p>
              </w:tc>
              <w:tc>
                <w:tcPr>
                  <w:tcW w:w="513" w:type="pct"/>
                  <w:shd w:val="clear" w:color="auto" w:fill="auto"/>
                  <w:noWrap w:val="0"/>
                  <w:vAlign w:val="center"/>
                </w:tcPr>
                <w:p>
                  <w:pPr>
                    <w:autoSpaceDE w:val="0"/>
                    <w:autoSpaceDN w:val="0"/>
                    <w:adjustRightInd w:val="0"/>
                    <w:jc w:val="center"/>
                    <w:rPr>
                      <w:rFonts w:hint="default" w:ascii="Times New Roman" w:hAnsi="Times New Roman" w:eastAsia="宋体" w:cs="Times New Roman"/>
                      <w:color w:val="FF0000"/>
                      <w:kern w:val="2"/>
                      <w:sz w:val="21"/>
                      <w:szCs w:val="21"/>
                      <w:lang w:val="en-US" w:eastAsia="zh-CN" w:bidi="ar-SA"/>
                    </w:rPr>
                  </w:pPr>
                  <w:r>
                    <w:rPr>
                      <w:rFonts w:hint="eastAsia"/>
                      <w:color w:val="FF0000"/>
                      <w:szCs w:val="21"/>
                      <w:lang w:val="en-US" w:eastAsia="zh-CN"/>
                    </w:rPr>
                    <w:t>0.06</w:t>
                  </w:r>
                </w:p>
              </w:tc>
              <w:tc>
                <w:tcPr>
                  <w:tcW w:w="586" w:type="pct"/>
                  <w:vMerge w:val="continue"/>
                  <w:shd w:val="clear" w:color="auto" w:fill="auto"/>
                  <w:noWrap w:val="0"/>
                  <w:vAlign w:val="center"/>
                </w:tcPr>
                <w:p>
                  <w:pPr>
                    <w:autoSpaceDE w:val="0"/>
                    <w:autoSpaceDN w:val="0"/>
                    <w:adjustRightInd w:val="0"/>
                    <w:jc w:val="center"/>
                    <w:rPr>
                      <w:rFonts w:hint="eastAsia"/>
                      <w:color w:val="FF0000"/>
                      <w:szCs w:val="21"/>
                    </w:rPr>
                  </w:pPr>
                </w:p>
              </w:tc>
            </w:tr>
          </w:tbl>
          <w:p>
            <w:pPr>
              <w:autoSpaceDE w:val="0"/>
              <w:autoSpaceDN w:val="0"/>
              <w:adjustRightInd w:val="0"/>
              <w:spacing w:line="360" w:lineRule="auto"/>
              <w:ind w:firstLine="480" w:firstLineChars="200"/>
              <w:rPr>
                <w:rFonts w:hint="eastAsia"/>
                <w:snapToGrid w:val="0"/>
                <w:color w:val="auto"/>
                <w:sz w:val="24"/>
                <w:szCs w:val="24"/>
              </w:rPr>
            </w:pPr>
            <w:r>
              <w:rPr>
                <w:rFonts w:hint="eastAsia" w:cs="宋体"/>
                <w:snapToGrid w:val="0"/>
                <w:color w:val="auto"/>
                <w:sz w:val="24"/>
                <w:szCs w:val="24"/>
              </w:rPr>
              <w:t>（4）</w:t>
            </w:r>
            <w:r>
              <w:rPr>
                <w:rFonts w:hint="eastAsia"/>
                <w:color w:val="auto"/>
                <w:sz w:val="24"/>
                <w:szCs w:val="24"/>
              </w:rPr>
              <w:t>环境管理要求</w:t>
            </w:r>
          </w:p>
          <w:p>
            <w:pPr>
              <w:autoSpaceDE w:val="0"/>
              <w:autoSpaceDN w:val="0"/>
              <w:adjustRightInd w:val="0"/>
              <w:spacing w:line="360" w:lineRule="auto"/>
              <w:ind w:firstLine="480" w:firstLineChars="200"/>
              <w:rPr>
                <w:snapToGrid w:val="0"/>
                <w:color w:val="auto"/>
                <w:sz w:val="24"/>
                <w:szCs w:val="24"/>
              </w:rPr>
            </w:pPr>
            <w:r>
              <w:rPr>
                <w:rFonts w:hint="eastAsia"/>
                <w:snapToGrid w:val="0"/>
                <w:color w:val="auto"/>
                <w:sz w:val="24"/>
                <w:szCs w:val="24"/>
                <w:lang w:val="en-US" w:eastAsia="zh-CN"/>
              </w:rPr>
              <w:t>医疗废物</w:t>
            </w:r>
            <w:r>
              <w:rPr>
                <w:rFonts w:hint="eastAsia"/>
                <w:snapToGrid w:val="0"/>
                <w:color w:val="auto"/>
                <w:sz w:val="24"/>
                <w:szCs w:val="24"/>
              </w:rPr>
              <w:t>暂存间环保要求：</w:t>
            </w:r>
          </w:p>
          <w:p>
            <w:pPr>
              <w:spacing w:line="360" w:lineRule="auto"/>
              <w:ind w:firstLine="480" w:firstLineChars="200"/>
              <w:rPr>
                <w:rFonts w:hint="eastAsia"/>
                <w:color w:val="auto"/>
                <w:sz w:val="24"/>
                <w:szCs w:val="24"/>
              </w:rPr>
            </w:pPr>
            <w:r>
              <w:rPr>
                <w:rFonts w:hint="eastAsia"/>
                <w:bCs/>
                <w:color w:val="auto"/>
                <w:sz w:val="24"/>
                <w:szCs w:val="24"/>
              </w:rPr>
              <w:t>根据</w:t>
            </w:r>
            <w:r>
              <w:rPr>
                <w:rFonts w:hint="eastAsia"/>
                <w:color w:val="auto"/>
                <w:sz w:val="24"/>
                <w:szCs w:val="24"/>
              </w:rPr>
              <w:t>《医疗废物管理条例》、</w:t>
            </w:r>
            <w:r>
              <w:rPr>
                <w:rFonts w:hint="eastAsia"/>
                <w:bCs/>
                <w:color w:val="auto"/>
                <w:sz w:val="24"/>
                <w:szCs w:val="24"/>
              </w:rPr>
              <w:t>《危险废物贮存污染控制标准》（GB18597-2001）医疗废物暂存间房地与裙角要用坚固、防渗的材料制造，建筑材料必须与危险废物相容；必须有泄液体收集装置、气体导出口及气体净化装置；设施内要有安全照明设施和观察窗口；用以存放装载液体、半固体危险废物容器的地方，必须有耐腐蚀的硬化地面，且表面无裂隙；应设计堵截泄漏的裙脚，地面与裙脚所围建的容积不低于堵截最大容器的最大储量或总储量的五分之一；不相容的危险废物必须分开存放，并设有隔离间隔断；</w:t>
            </w:r>
            <w:r>
              <w:rPr>
                <w:rFonts w:hint="eastAsia"/>
                <w:color w:val="auto"/>
                <w:sz w:val="24"/>
                <w:szCs w:val="24"/>
              </w:rPr>
              <w:t>医疗废物暂存间应避免阳光直射，并有良好的照明设备和通风条件；暂存位置地面及墙面必须做防渗处理，地基高度可以确保不受雨洪冲击或浸泡；与医疗区、人员活动密集区以及生活垃圾存放地分开，并设置防鼠、防蚊蝇、防蟑螂、防盗以及预防儿童接触等安全措施。医疗废物的暂时贮存设施、设备定期消毒和清洁。</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医疗固废分类收集、暂存及运送应满足以下要求：</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①项目应根据《医疗废物分类名录》，及时收集本单位产生的医疗废物，并按照类别分置于防渗漏、防锐器穿透的专用包装物或者密闭的容器内。</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②项目内医疗废物产生地点应当有医疗废物分类收集方法示意图或文字说明。</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③根据医疗废物的类别，将医疗废物分置于符合《医疗废物专用包装物、容器的标准和警示标识的规定》的包装物或者容器内；在盛装医疗废物前，应当对医疗废物包装物或者容器进行认真检查，确保无破损、渗漏和其它缺陷；感染性废物、病理性废物、损伤性废物、药物性废物及化学性废物不能混合收集；废弃的麻醉、精神、放射性、毒性等药品及其相关的废物的管理，依照有关法律、行政法规和国家有关规定、标准执行；化学性废物中批量的废化学试剂、废消毒剂、含有汞的体温计、血压计等医疗器具报废时，应当交由专门机构处置；放入包装物或者容器内的感染性废物、病理性废物、损伤性废物不得取出。</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④包装物或者容器的外表面被感染性废物污染时，应当对被污染处进行消毒处理或者增加一层包装。</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⑤危险废物贮存设施必须按</w:t>
            </w:r>
            <w:r>
              <w:rPr>
                <w:color w:val="auto"/>
                <w:sz w:val="24"/>
                <w:szCs w:val="24"/>
              </w:rPr>
              <w:t>GB15562.2</w:t>
            </w:r>
            <w:r>
              <w:rPr>
                <w:rFonts w:hint="eastAsia"/>
                <w:color w:val="auto"/>
                <w:sz w:val="24"/>
                <w:szCs w:val="24"/>
              </w:rPr>
              <w:t>的规定设置警示标志，危废暂存间室内地面必须有耐腐蚀的硬化地面，且表面无裂痕。</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⑥盛装医疗废物的每个包装物、容器外表面应当有警示标识，在每个包装物、容器上应当系中文标签，中文标签的内容应当包括：医疗废物产生单位、产生日期、类别及需要的特别说明等。</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⑦包装物或者容器的外表面被感染性废物污染时，应当对被污染处进行消毒处理或者增加一层包装。</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⑧医疗废物的暂时贮存设施、设备，不得露天存放医疗废物；医疗废物每两天清运一次；并对医疗废物的暂时贮存设施、设备定期消毒和清洁。暂时贮存病理性废物，应当具备低温贮存或者防腐条件。</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⑨项目应当对医疗废物进行登记，登记内容应当包括医疗废物的来源、种类、重量或者数量、交接时间、最终去向以及经办人签名等项目。登记资料至少保存</w:t>
            </w:r>
            <w:r>
              <w:rPr>
                <w:color w:val="auto"/>
                <w:sz w:val="24"/>
                <w:szCs w:val="24"/>
              </w:rPr>
              <w:t>3</w:t>
            </w:r>
            <w:r>
              <w:rPr>
                <w:rFonts w:hint="eastAsia"/>
                <w:color w:val="auto"/>
                <w:sz w:val="24"/>
                <w:szCs w:val="24"/>
              </w:rPr>
              <w:t>年。</w:t>
            </w:r>
          </w:p>
          <w:p>
            <w:pPr>
              <w:autoSpaceDE w:val="0"/>
              <w:autoSpaceDN w:val="0"/>
              <w:adjustRightInd w:val="0"/>
              <w:spacing w:line="360" w:lineRule="auto"/>
              <w:ind w:firstLine="480" w:firstLineChars="200"/>
              <w:rPr>
                <w:color w:val="auto"/>
                <w:sz w:val="24"/>
                <w:szCs w:val="24"/>
              </w:rPr>
            </w:pPr>
            <w:r>
              <w:rPr>
                <w:rFonts w:hint="eastAsia"/>
                <w:color w:val="auto"/>
                <w:sz w:val="24"/>
                <w:szCs w:val="24"/>
              </w:rPr>
              <w:t>⑩运送人员每天从医疗废物产生地点将分类包装的医疗废物按照规定的时间和路线运送至内部指定的暂时贮存地点。运送人员在运送医疗废物前，应当检查包装物或者容器的标识、标签及封口是否符合要求；在运送医疗废物时，应当防止造成包装物或容器破损和医疗废物的流失、泄漏和扩散，并防止医疗废物直接接触身体；运送医疗废物应当使用防渗漏、防遗撒、无锐利边角、</w:t>
            </w:r>
            <w:r>
              <w:rPr>
                <w:color w:val="auto"/>
                <w:sz w:val="24"/>
                <w:szCs w:val="24"/>
              </w:rPr>
              <w:t>易于装卸和清洁的专用运送工具。每天运送工作结束后，应当对运送工具及时进行清洁和消毒。</w:t>
            </w:r>
          </w:p>
          <w:p>
            <w:pPr>
              <w:autoSpaceDE w:val="0"/>
              <w:autoSpaceDN w:val="0"/>
              <w:adjustRightInd w:val="0"/>
              <w:spacing w:line="360" w:lineRule="auto"/>
              <w:ind w:firstLine="480" w:firstLineChars="200"/>
              <w:rPr>
                <w:color w:val="auto"/>
                <w:sz w:val="24"/>
                <w:szCs w:val="24"/>
              </w:rPr>
            </w:pPr>
            <w:r>
              <w:rPr>
                <w:color w:val="auto"/>
                <w:sz w:val="24"/>
                <w:szCs w:val="24"/>
              </w:rPr>
              <w:t>⑪禁止项目及其工作人员转让、买卖医疗废物。禁止在非收集、非暂时贮存地点倾倒、堆放医疗废物，禁止将医疗废物混入其它废物和生活垃圾。</w:t>
            </w:r>
          </w:p>
          <w:p>
            <w:pPr>
              <w:autoSpaceDE w:val="0"/>
              <w:autoSpaceDN w:val="0"/>
              <w:adjustRightInd w:val="0"/>
              <w:spacing w:line="360" w:lineRule="auto"/>
              <w:ind w:firstLine="480" w:firstLineChars="200"/>
              <w:rPr>
                <w:rFonts w:hint="default" w:eastAsia="宋体"/>
                <w:color w:val="auto"/>
                <w:sz w:val="24"/>
                <w:szCs w:val="24"/>
                <w:lang w:val="en-US" w:eastAsia="zh-CN"/>
              </w:rPr>
            </w:pPr>
            <w:r>
              <w:rPr>
                <w:rFonts w:hint="eastAsia"/>
                <w:color w:val="auto"/>
                <w:sz w:val="24"/>
                <w:szCs w:val="24"/>
                <w:lang w:val="en-US" w:eastAsia="zh-CN"/>
              </w:rPr>
              <w:t>本项目医疗废物暂存间位于医院大楼外西北侧一层楼梯间单独设置，与医疗区域分隔开，一楼诊室及各层医生办公室设置医疗废物暂存桶。</w:t>
            </w:r>
          </w:p>
          <w:p>
            <w:pPr>
              <w:autoSpaceDE w:val="0"/>
              <w:autoSpaceDN w:val="0"/>
              <w:adjustRightInd w:val="0"/>
              <w:spacing w:line="360" w:lineRule="auto"/>
              <w:ind w:firstLine="480" w:firstLineChars="200"/>
              <w:rPr>
                <w:rFonts w:hint="eastAsia" w:cs="宋体"/>
                <w:snapToGrid w:val="0"/>
                <w:color w:val="auto"/>
                <w:sz w:val="24"/>
                <w:szCs w:val="24"/>
              </w:rPr>
            </w:pPr>
            <w:r>
              <w:rPr>
                <w:rFonts w:hint="eastAsia"/>
                <w:color w:val="auto"/>
                <w:sz w:val="24"/>
                <w:szCs w:val="24"/>
              </w:rPr>
              <w:t>综上，本项目在做好以上污染防治措施的基础上，其运营期各种固废均可得到有效处置，不会产生二次污染</w:t>
            </w:r>
            <w:r>
              <w:rPr>
                <w:rFonts w:hint="eastAsia" w:cs="宋体"/>
                <w:snapToGrid w:val="0"/>
                <w:color w:val="auto"/>
                <w:sz w:val="24"/>
                <w:szCs w:val="24"/>
              </w:rPr>
              <w:t>，对环境影响较小。</w:t>
            </w:r>
          </w:p>
          <w:p>
            <w:pPr>
              <w:autoSpaceDE w:val="0"/>
              <w:autoSpaceDN w:val="0"/>
              <w:adjustRightInd w:val="0"/>
              <w:spacing w:line="360" w:lineRule="auto"/>
              <w:ind w:firstLine="482" w:firstLineChars="200"/>
              <w:rPr>
                <w:b/>
                <w:bCs/>
                <w:color w:val="auto"/>
                <w:sz w:val="24"/>
                <w:szCs w:val="24"/>
              </w:rPr>
            </w:pPr>
            <w:r>
              <w:rPr>
                <w:rFonts w:hint="eastAsia"/>
                <w:b/>
                <w:bCs/>
                <w:color w:val="auto"/>
                <w:sz w:val="24"/>
                <w:szCs w:val="24"/>
              </w:rPr>
              <w:t>5、地下水、土壤</w:t>
            </w:r>
          </w:p>
          <w:p>
            <w:pPr>
              <w:autoSpaceDE w:val="0"/>
              <w:autoSpaceDN w:val="0"/>
              <w:adjustRightInd w:val="0"/>
              <w:spacing w:line="360" w:lineRule="auto"/>
              <w:ind w:firstLine="480" w:firstLineChars="200"/>
              <w:rPr>
                <w:color w:val="auto"/>
                <w:sz w:val="24"/>
                <w:szCs w:val="24"/>
              </w:rPr>
            </w:pPr>
            <w:r>
              <w:rPr>
                <w:color w:val="auto"/>
                <w:sz w:val="24"/>
                <w:szCs w:val="24"/>
              </w:rPr>
              <w:t>（1）地下水、土壤污染源</w:t>
            </w:r>
          </w:p>
          <w:p>
            <w:pPr>
              <w:autoSpaceDE w:val="0"/>
              <w:autoSpaceDN w:val="0"/>
              <w:adjustRightInd w:val="0"/>
              <w:spacing w:line="360" w:lineRule="auto"/>
              <w:ind w:firstLine="480" w:firstLineChars="200"/>
              <w:rPr>
                <w:rFonts w:hint="default" w:eastAsia="宋体"/>
                <w:color w:val="auto"/>
                <w:sz w:val="24"/>
                <w:szCs w:val="24"/>
                <w:lang w:val="en-US" w:eastAsia="zh-CN"/>
              </w:rPr>
            </w:pPr>
            <w:r>
              <w:rPr>
                <w:color w:val="auto"/>
                <w:sz w:val="24"/>
                <w:szCs w:val="24"/>
              </w:rPr>
              <w:t>项目对地下水和土壤可能造成影响的污染源为污水处理设施、污水管线及医疗废物暂存间。</w:t>
            </w:r>
            <w:r>
              <w:rPr>
                <w:rFonts w:hint="eastAsia"/>
                <w:color w:val="auto"/>
                <w:sz w:val="24"/>
                <w:szCs w:val="24"/>
                <w:lang w:val="en-US" w:eastAsia="zh-CN"/>
              </w:rPr>
              <w:t>医院内医疗废物暂存间以及污水处理设施采取以下防渗措施：</w:t>
            </w:r>
          </w:p>
          <w:p>
            <w:pPr>
              <w:widowControl/>
              <w:autoSpaceDE w:val="0"/>
              <w:autoSpaceDN w:val="0"/>
              <w:adjustRightIn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1 \* GB3 \* MERGEFORMAT </w:instrText>
            </w:r>
            <w:r>
              <w:rPr>
                <w:color w:val="auto"/>
                <w:sz w:val="24"/>
                <w:szCs w:val="24"/>
              </w:rPr>
              <w:fldChar w:fldCharType="separate"/>
            </w:r>
            <w:r>
              <w:rPr>
                <w:color w:val="auto"/>
                <w:sz w:val="24"/>
                <w:szCs w:val="24"/>
              </w:rPr>
              <w:t>①</w:t>
            </w:r>
            <w:r>
              <w:rPr>
                <w:color w:val="auto"/>
                <w:sz w:val="24"/>
                <w:szCs w:val="24"/>
              </w:rPr>
              <w:fldChar w:fldCharType="end"/>
            </w:r>
            <w:r>
              <w:rPr>
                <w:color w:val="auto"/>
                <w:sz w:val="24"/>
                <w:szCs w:val="24"/>
              </w:rPr>
              <w:t>医疗废物暂存间</w:t>
            </w:r>
          </w:p>
          <w:p>
            <w:pPr>
              <w:widowControl/>
              <w:autoSpaceDE w:val="0"/>
              <w:autoSpaceDN w:val="0"/>
              <w:adjustRightInd w:val="0"/>
              <w:spacing w:line="360" w:lineRule="auto"/>
              <w:ind w:firstLine="480" w:firstLineChars="200"/>
              <w:rPr>
                <w:color w:val="auto"/>
                <w:sz w:val="24"/>
                <w:szCs w:val="24"/>
              </w:rPr>
            </w:pPr>
            <w:r>
              <w:rPr>
                <w:color w:val="auto"/>
                <w:sz w:val="24"/>
                <w:szCs w:val="24"/>
              </w:rPr>
              <w:t>医院内的医疗废物经收集后先采用完好无损的容器盛装，然后集中在医疗废物临时贮存场暂存，要求医疗固体废物场内暂存场所做好防渗。依照《危险废物贮存污染控制标准》，应建设完善的医疗废物暂存处，可以将封闭包装后的医疗废物临时储存在封闭空间内，交由有资质的单位运走进行安全处理。医疗废物暂存处作为重点防渗区，地面采取硬化措施，表面做环氧树脂地坪，可以达到等效黏土防渗层Mb≥6.0m，取渗透系数≤10</w:t>
            </w:r>
            <w:r>
              <w:rPr>
                <w:color w:val="auto"/>
                <w:sz w:val="24"/>
                <w:szCs w:val="24"/>
                <w:vertAlign w:val="superscript"/>
              </w:rPr>
              <w:t>-10</w:t>
            </w:r>
            <w:r>
              <w:rPr>
                <w:color w:val="auto"/>
                <w:sz w:val="24"/>
                <w:szCs w:val="24"/>
              </w:rPr>
              <w:t>cm/s的要求，一旦发生跑、冒、地、漏，也不会造成地下水污染。</w:t>
            </w:r>
          </w:p>
          <w:p>
            <w:pPr>
              <w:widowControl/>
              <w:autoSpaceDE w:val="0"/>
              <w:autoSpaceDN w:val="0"/>
              <w:adjustRightInd w:val="0"/>
              <w:spacing w:line="360" w:lineRule="auto"/>
              <w:ind w:firstLine="480" w:firstLineChars="200"/>
              <w:rPr>
                <w:color w:val="auto"/>
                <w:sz w:val="24"/>
                <w:szCs w:val="24"/>
              </w:rPr>
            </w:pPr>
            <w:r>
              <w:rPr>
                <w:color w:val="auto"/>
                <w:sz w:val="24"/>
                <w:szCs w:val="24"/>
              </w:rPr>
              <w:fldChar w:fldCharType="begin"/>
            </w:r>
            <w:r>
              <w:rPr>
                <w:color w:val="auto"/>
                <w:sz w:val="24"/>
                <w:szCs w:val="24"/>
              </w:rPr>
              <w:instrText xml:space="preserve"> = 2 \* GB3 \* MERGEFORMAT </w:instrText>
            </w:r>
            <w:r>
              <w:rPr>
                <w:color w:val="auto"/>
                <w:sz w:val="24"/>
                <w:szCs w:val="24"/>
              </w:rPr>
              <w:fldChar w:fldCharType="separate"/>
            </w:r>
            <w:r>
              <w:rPr>
                <w:color w:val="auto"/>
                <w:sz w:val="24"/>
                <w:szCs w:val="24"/>
              </w:rPr>
              <w:t>②</w:t>
            </w:r>
            <w:r>
              <w:rPr>
                <w:color w:val="auto"/>
                <w:sz w:val="24"/>
                <w:szCs w:val="24"/>
              </w:rPr>
              <w:fldChar w:fldCharType="end"/>
            </w:r>
            <w:r>
              <w:rPr>
                <w:color w:val="auto"/>
                <w:sz w:val="24"/>
                <w:szCs w:val="24"/>
              </w:rPr>
              <w:t>污水处理站</w:t>
            </w:r>
          </w:p>
          <w:p>
            <w:pPr>
              <w:widowControl/>
              <w:autoSpaceDE w:val="0"/>
              <w:autoSpaceDN w:val="0"/>
              <w:adjustRightInd w:val="0"/>
              <w:spacing w:line="360" w:lineRule="auto"/>
              <w:ind w:firstLine="480" w:firstLineChars="200"/>
              <w:rPr>
                <w:color w:val="auto"/>
                <w:sz w:val="24"/>
                <w:szCs w:val="24"/>
              </w:rPr>
            </w:pPr>
            <w:r>
              <w:rPr>
                <w:rFonts w:hint="eastAsia"/>
                <w:color w:val="auto"/>
                <w:sz w:val="24"/>
                <w:szCs w:val="24"/>
                <w:lang w:val="en-US" w:eastAsia="zh-CN"/>
              </w:rPr>
              <w:t>污水处理装置采用地埋式一体化设备，玻璃钢外壳，双层防腐；</w:t>
            </w:r>
            <w:r>
              <w:rPr>
                <w:rFonts w:hint="eastAsia"/>
                <w:color w:val="auto"/>
                <w:sz w:val="24"/>
                <w:szCs w:val="24"/>
              </w:rPr>
              <w:t>污水处理间硬化防渗</w:t>
            </w:r>
            <w:r>
              <w:rPr>
                <w:color w:val="auto"/>
                <w:sz w:val="24"/>
                <w:szCs w:val="24"/>
              </w:rPr>
              <w:t>。项目废水管道均置于管沟内，对地下敷设的管道、阀门设专用混凝土防渗管沟，管沟内壁涂防水涂料，确保达到等效黏土防渗层Mb≥1.5m，渗透系数≤10</w:t>
            </w:r>
            <w:r>
              <w:rPr>
                <w:color w:val="auto"/>
                <w:sz w:val="24"/>
                <w:szCs w:val="24"/>
                <w:vertAlign w:val="superscript"/>
              </w:rPr>
              <w:t>-7</w:t>
            </w:r>
            <w:r>
              <w:rPr>
                <w:color w:val="auto"/>
                <w:sz w:val="24"/>
                <w:szCs w:val="24"/>
              </w:rPr>
              <w:t>cm/s的要求，管沟上设活动观察顶盖，以便出现渗漏问题及时观察、解决。管沟与污水</w:t>
            </w:r>
            <w:r>
              <w:rPr>
                <w:rFonts w:hint="eastAsia"/>
                <w:color w:val="auto"/>
                <w:sz w:val="24"/>
                <w:szCs w:val="24"/>
              </w:rPr>
              <w:t>收集池</w:t>
            </w:r>
            <w:r>
              <w:rPr>
                <w:color w:val="auto"/>
                <w:sz w:val="24"/>
                <w:szCs w:val="24"/>
              </w:rPr>
              <w:t>相连，并设计不低于5‰的排水坡度，便于废水排至</w:t>
            </w:r>
            <w:r>
              <w:rPr>
                <w:rFonts w:hint="eastAsia"/>
                <w:color w:val="auto"/>
                <w:sz w:val="24"/>
                <w:szCs w:val="24"/>
              </w:rPr>
              <w:t>收集池</w:t>
            </w:r>
            <w:r>
              <w:rPr>
                <w:color w:val="auto"/>
                <w:sz w:val="24"/>
                <w:szCs w:val="24"/>
              </w:rPr>
              <w:t>，然后由污水处理站统一处理。</w:t>
            </w:r>
          </w:p>
          <w:p>
            <w:pPr>
              <w:autoSpaceDE w:val="0"/>
              <w:autoSpaceDN w:val="0"/>
              <w:adjustRightInd w:val="0"/>
              <w:spacing w:line="360" w:lineRule="auto"/>
              <w:ind w:firstLine="480" w:firstLineChars="200"/>
              <w:rPr>
                <w:color w:val="auto"/>
                <w:sz w:val="24"/>
                <w:szCs w:val="24"/>
              </w:rPr>
            </w:pPr>
            <w:r>
              <w:rPr>
                <w:color w:val="auto"/>
                <w:sz w:val="24"/>
                <w:szCs w:val="24"/>
              </w:rPr>
              <w:t>（2）污染途径</w:t>
            </w:r>
          </w:p>
          <w:p>
            <w:pPr>
              <w:autoSpaceDE w:val="0"/>
              <w:autoSpaceDN w:val="0"/>
              <w:adjustRightInd w:val="0"/>
              <w:spacing w:line="360" w:lineRule="auto"/>
              <w:ind w:firstLine="480" w:firstLineChars="200"/>
              <w:rPr>
                <w:color w:val="auto"/>
                <w:sz w:val="24"/>
                <w:szCs w:val="24"/>
              </w:rPr>
            </w:pPr>
            <w:r>
              <w:rPr>
                <w:rFonts w:hint="eastAsia"/>
                <w:color w:val="auto"/>
                <w:sz w:val="24"/>
                <w:szCs w:val="24"/>
                <w:lang w:val="en-US" w:eastAsia="zh-CN"/>
              </w:rPr>
              <w:t>本项目污水处理站以及医疗废物暂存间已采用合理的防控措施，无常规污染途径</w:t>
            </w:r>
            <w:r>
              <w:rPr>
                <w:color w:val="auto"/>
                <w:sz w:val="24"/>
                <w:szCs w:val="24"/>
              </w:rPr>
              <w:t>。</w:t>
            </w:r>
          </w:p>
          <w:p>
            <w:pPr>
              <w:adjustRightInd w:val="0"/>
              <w:snapToGrid w:val="0"/>
              <w:spacing w:line="360" w:lineRule="auto"/>
              <w:ind w:firstLine="480" w:firstLineChars="200"/>
              <w:rPr>
                <w:color w:val="auto"/>
                <w:sz w:val="24"/>
                <w:szCs w:val="24"/>
              </w:rPr>
            </w:pPr>
            <w:r>
              <w:rPr>
                <w:color w:val="auto"/>
                <w:sz w:val="24"/>
                <w:szCs w:val="24"/>
              </w:rPr>
              <w:t>综上所述，通过采取对医疗废物暂存间和污水处理站加大防渗力度、完善防渗措施，加强现场管理等措施，可以避免对周围地下水和土壤产生不良影响</w:t>
            </w:r>
            <w:r>
              <w:rPr>
                <w:rFonts w:hint="eastAsia"/>
                <w:color w:val="auto"/>
                <w:sz w:val="24"/>
                <w:szCs w:val="24"/>
              </w:rPr>
              <w:t>。</w:t>
            </w:r>
          </w:p>
          <w:p>
            <w:pPr>
              <w:autoSpaceDE w:val="0"/>
              <w:autoSpaceDN w:val="0"/>
              <w:adjustRightInd w:val="0"/>
              <w:spacing w:line="360" w:lineRule="auto"/>
              <w:ind w:firstLine="482" w:firstLineChars="200"/>
              <w:rPr>
                <w:b/>
                <w:bCs/>
                <w:color w:val="auto"/>
                <w:sz w:val="24"/>
                <w:szCs w:val="24"/>
              </w:rPr>
            </w:pPr>
            <w:r>
              <w:rPr>
                <w:rFonts w:hint="eastAsia"/>
                <w:b/>
                <w:bCs/>
                <w:color w:val="auto"/>
                <w:sz w:val="24"/>
                <w:szCs w:val="24"/>
              </w:rPr>
              <w:t>6、环境风险</w:t>
            </w:r>
          </w:p>
          <w:p>
            <w:pPr>
              <w:widowControl/>
              <w:autoSpaceDE w:val="0"/>
              <w:autoSpaceDN w:val="0"/>
              <w:adjustRightInd w:val="0"/>
              <w:spacing w:line="360" w:lineRule="auto"/>
              <w:ind w:firstLine="480" w:firstLineChars="200"/>
              <w:rPr>
                <w:color w:val="auto"/>
                <w:sz w:val="24"/>
                <w:szCs w:val="24"/>
              </w:rPr>
            </w:pPr>
            <w:r>
              <w:rPr>
                <w:color w:val="auto"/>
                <w:sz w:val="24"/>
                <w:szCs w:val="24"/>
              </w:rPr>
              <w:t>根据《建设项目环境风险评价技术导则》（HJ169-2018），对本项目所涉及的有毒有害、易燃易爆物质进行危险性识别和综合评价。</w:t>
            </w:r>
          </w:p>
          <w:p>
            <w:pPr>
              <w:widowControl/>
              <w:autoSpaceDE w:val="0"/>
              <w:autoSpaceDN w:val="0"/>
              <w:adjustRightInd w:val="0"/>
              <w:spacing w:line="360" w:lineRule="auto"/>
              <w:ind w:firstLine="480" w:firstLineChars="200"/>
              <w:rPr>
                <w:color w:val="auto"/>
                <w:sz w:val="24"/>
                <w:szCs w:val="24"/>
              </w:rPr>
            </w:pPr>
            <w:r>
              <w:rPr>
                <w:color w:val="auto"/>
                <w:sz w:val="24"/>
                <w:szCs w:val="24"/>
              </w:rPr>
              <w:t>根据《建设项目环境风险评价技术导则》（HJ169-20</w:t>
            </w:r>
            <w:r>
              <w:rPr>
                <w:rFonts w:hint="eastAsia"/>
                <w:color w:val="auto"/>
                <w:sz w:val="24"/>
                <w:szCs w:val="24"/>
              </w:rPr>
              <w:t>18</w:t>
            </w:r>
            <w:r>
              <w:rPr>
                <w:color w:val="auto"/>
                <w:sz w:val="24"/>
                <w:szCs w:val="24"/>
              </w:rPr>
              <w:t>）附录A.1和《危险化学品重大危险源辩识》（GB18218-20</w:t>
            </w:r>
            <w:r>
              <w:rPr>
                <w:rFonts w:hint="eastAsia"/>
                <w:color w:val="auto"/>
                <w:sz w:val="24"/>
                <w:szCs w:val="24"/>
              </w:rPr>
              <w:t>18</w:t>
            </w:r>
            <w:r>
              <w:rPr>
                <w:color w:val="auto"/>
                <w:sz w:val="24"/>
                <w:szCs w:val="24"/>
              </w:rPr>
              <w:t>），本项目涉及的危险物质主要为</w:t>
            </w:r>
            <w:r>
              <w:rPr>
                <w:rFonts w:hint="eastAsia"/>
                <w:color w:val="auto"/>
                <w:sz w:val="24"/>
                <w:szCs w:val="24"/>
              </w:rPr>
              <w:t>医疗</w:t>
            </w:r>
            <w:r>
              <w:rPr>
                <w:color w:val="auto"/>
                <w:sz w:val="24"/>
                <w:szCs w:val="24"/>
              </w:rPr>
              <w:t>过程中使用的</w:t>
            </w:r>
            <w:r>
              <w:rPr>
                <w:rFonts w:hint="eastAsia"/>
                <w:color w:val="auto"/>
                <w:sz w:val="24"/>
                <w:szCs w:val="24"/>
              </w:rPr>
              <w:t>酒精</w:t>
            </w:r>
            <w:r>
              <w:rPr>
                <w:rFonts w:hint="eastAsia"/>
                <w:color w:val="auto"/>
                <w:sz w:val="24"/>
                <w:szCs w:val="24"/>
                <w:lang w:val="en-US" w:eastAsia="zh-CN"/>
              </w:rPr>
              <w:t>以及</w:t>
            </w:r>
            <w:r>
              <w:rPr>
                <w:rFonts w:hint="eastAsia"/>
                <w:color w:val="FF0000"/>
                <w:sz w:val="24"/>
                <w:szCs w:val="24"/>
                <w:lang w:val="en-US" w:eastAsia="zh-CN"/>
              </w:rPr>
              <w:t>污水处理站暂存的药品</w:t>
            </w:r>
            <w:r>
              <w:rPr>
                <w:color w:val="FF0000"/>
                <w:sz w:val="24"/>
                <w:szCs w:val="24"/>
              </w:rPr>
              <w:t>，其</w:t>
            </w:r>
            <w:r>
              <w:rPr>
                <w:rFonts w:hint="eastAsia"/>
                <w:color w:val="FF0000"/>
                <w:sz w:val="24"/>
                <w:szCs w:val="24"/>
              </w:rPr>
              <w:t>酒精</w:t>
            </w:r>
            <w:r>
              <w:rPr>
                <w:color w:val="FF0000"/>
                <w:sz w:val="24"/>
                <w:szCs w:val="24"/>
              </w:rPr>
              <w:t>最大贮存量为0.</w:t>
            </w:r>
            <w:r>
              <w:rPr>
                <w:rFonts w:hint="eastAsia"/>
                <w:color w:val="FF0000"/>
                <w:sz w:val="24"/>
                <w:szCs w:val="24"/>
              </w:rPr>
              <w:t>2</w:t>
            </w:r>
            <w:r>
              <w:rPr>
                <w:color w:val="FF0000"/>
                <w:sz w:val="24"/>
                <w:szCs w:val="24"/>
              </w:rPr>
              <w:t>t</w:t>
            </w:r>
            <w:r>
              <w:rPr>
                <w:rFonts w:hint="eastAsia"/>
                <w:color w:val="FF0000"/>
                <w:sz w:val="24"/>
                <w:szCs w:val="24"/>
                <w:lang w:eastAsia="zh-CN"/>
              </w:rPr>
              <w:t>（</w:t>
            </w:r>
            <w:r>
              <w:rPr>
                <w:rFonts w:hint="eastAsia"/>
                <w:color w:val="FF0000"/>
                <w:sz w:val="24"/>
                <w:szCs w:val="24"/>
                <w:lang w:val="en-US" w:eastAsia="zh-CN"/>
              </w:rPr>
              <w:t>临界量500t，Q值为0.0004</w:t>
            </w:r>
            <w:r>
              <w:rPr>
                <w:rFonts w:hint="eastAsia"/>
                <w:color w:val="FF0000"/>
                <w:sz w:val="24"/>
                <w:szCs w:val="24"/>
                <w:lang w:eastAsia="zh-CN"/>
              </w:rPr>
              <w:t>）、</w:t>
            </w:r>
            <w:r>
              <w:rPr>
                <w:rFonts w:hint="eastAsia"/>
                <w:color w:val="FF0000"/>
                <w:sz w:val="24"/>
                <w:szCs w:val="24"/>
                <w:lang w:val="en-US" w:eastAsia="zh-CN"/>
              </w:rPr>
              <w:t>次氯酸钠最大贮存量为0.05t（临界量5t，Q值为0.01）、柴油最大贮存量为0.05t（临界量为2500t，Q值为0.00002），项目危险物质贮存量远低于临界量</w:t>
            </w:r>
            <w:r>
              <w:rPr>
                <w:color w:val="FF0000"/>
                <w:sz w:val="24"/>
                <w:szCs w:val="24"/>
              </w:rPr>
              <w:t>。</w:t>
            </w:r>
          </w:p>
          <w:p>
            <w:pPr>
              <w:widowControl/>
              <w:autoSpaceDE w:val="0"/>
              <w:autoSpaceDN w:val="0"/>
              <w:adjustRightInd w:val="0"/>
              <w:spacing w:line="360" w:lineRule="auto"/>
              <w:ind w:firstLine="480" w:firstLineChars="200"/>
              <w:rPr>
                <w:color w:val="auto"/>
                <w:sz w:val="24"/>
                <w:szCs w:val="24"/>
              </w:rPr>
            </w:pPr>
            <w:r>
              <w:rPr>
                <w:color w:val="auto"/>
                <w:kern w:val="0"/>
                <w:sz w:val="24"/>
                <w:szCs w:val="24"/>
                <w:lang w:bidi="ar"/>
              </w:rPr>
              <w:t>因此，本项目环境风险评价工作等级为简单分析</w:t>
            </w:r>
            <w:r>
              <w:rPr>
                <w:color w:val="auto"/>
                <w:sz w:val="24"/>
                <w:szCs w:val="24"/>
              </w:rPr>
              <w:t>。</w:t>
            </w:r>
          </w:p>
          <w:p>
            <w:pPr>
              <w:spacing w:line="360" w:lineRule="auto"/>
              <w:jc w:val="center"/>
              <w:rPr>
                <w:b/>
                <w:bCs/>
                <w:color w:val="auto"/>
                <w:szCs w:val="21"/>
              </w:rPr>
            </w:pPr>
            <w:r>
              <w:rPr>
                <w:b/>
                <w:bCs/>
                <w:color w:val="auto"/>
                <w:szCs w:val="21"/>
              </w:rPr>
              <w:t>表4-</w:t>
            </w:r>
            <w:r>
              <w:rPr>
                <w:rFonts w:hint="eastAsia"/>
                <w:b/>
                <w:bCs/>
                <w:color w:val="auto"/>
                <w:szCs w:val="21"/>
                <w:lang w:val="en-US" w:eastAsia="zh-CN"/>
              </w:rPr>
              <w:t>12</w:t>
            </w:r>
            <w:r>
              <w:rPr>
                <w:b/>
                <w:bCs/>
                <w:color w:val="auto"/>
                <w:szCs w:val="21"/>
              </w:rPr>
              <w:t xml:space="preserve">   建设项目环境风险简单分析内容表</w:t>
            </w: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3"/>
              <w:gridCol w:w="910"/>
              <w:gridCol w:w="2303"/>
              <w:gridCol w:w="1296"/>
              <w:gridCol w:w="2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73" w:type="pct"/>
                  <w:noWrap w:val="0"/>
                  <w:vAlign w:val="center"/>
                </w:tcPr>
                <w:p>
                  <w:pPr>
                    <w:adjustRightInd w:val="0"/>
                    <w:jc w:val="center"/>
                    <w:rPr>
                      <w:color w:val="auto"/>
                      <w:szCs w:val="21"/>
                    </w:rPr>
                  </w:pPr>
                  <w:r>
                    <w:rPr>
                      <w:color w:val="auto"/>
                      <w:szCs w:val="21"/>
                    </w:rPr>
                    <w:t>建设项目名称</w:t>
                  </w:r>
                </w:p>
              </w:tc>
              <w:tc>
                <w:tcPr>
                  <w:tcW w:w="4026" w:type="pct"/>
                  <w:gridSpan w:val="4"/>
                  <w:noWrap w:val="0"/>
                  <w:vAlign w:val="center"/>
                </w:tcPr>
                <w:p>
                  <w:pPr>
                    <w:adjustRightInd w:val="0"/>
                    <w:jc w:val="center"/>
                    <w:rPr>
                      <w:color w:val="auto"/>
                      <w:szCs w:val="21"/>
                    </w:rPr>
                  </w:pPr>
                  <w:r>
                    <w:rPr>
                      <w:rFonts w:hint="eastAsia"/>
                      <w:color w:val="auto"/>
                      <w:szCs w:val="21"/>
                    </w:rPr>
                    <w:t>西安</w:t>
                  </w:r>
                  <w:r>
                    <w:rPr>
                      <w:rFonts w:hint="eastAsia"/>
                      <w:color w:val="auto"/>
                      <w:szCs w:val="21"/>
                      <w:lang w:val="en-US" w:eastAsia="zh-CN"/>
                    </w:rPr>
                    <w:t>康护</w:t>
                  </w:r>
                  <w:r>
                    <w:rPr>
                      <w:rFonts w:hint="eastAsia"/>
                      <w:color w:val="auto"/>
                      <w:szCs w:val="21"/>
                    </w:rPr>
                    <w:t>医院建设项目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73" w:type="pct"/>
                  <w:noWrap w:val="0"/>
                  <w:vAlign w:val="center"/>
                </w:tcPr>
                <w:p>
                  <w:pPr>
                    <w:adjustRightInd w:val="0"/>
                    <w:jc w:val="center"/>
                    <w:rPr>
                      <w:color w:val="auto"/>
                      <w:szCs w:val="21"/>
                    </w:rPr>
                  </w:pPr>
                  <w:r>
                    <w:rPr>
                      <w:color w:val="auto"/>
                      <w:szCs w:val="21"/>
                    </w:rPr>
                    <w:t>建设地点</w:t>
                  </w:r>
                </w:p>
              </w:tc>
              <w:tc>
                <w:tcPr>
                  <w:tcW w:w="4026" w:type="pct"/>
                  <w:gridSpan w:val="4"/>
                  <w:noWrap w:val="0"/>
                  <w:vAlign w:val="center"/>
                </w:tcPr>
                <w:p>
                  <w:pPr>
                    <w:adjustRightInd w:val="0"/>
                    <w:jc w:val="center"/>
                    <w:rPr>
                      <w:color w:val="auto"/>
                      <w:szCs w:val="21"/>
                    </w:rPr>
                  </w:pPr>
                  <w:r>
                    <w:rPr>
                      <w:rFonts w:hint="eastAsia"/>
                      <w:color w:val="auto"/>
                      <w:szCs w:val="21"/>
                    </w:rPr>
                    <w:t>陕西省西安市莲湖区振华北巷7号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73" w:type="pct"/>
                  <w:noWrap w:val="0"/>
                  <w:vAlign w:val="center"/>
                </w:tcPr>
                <w:p>
                  <w:pPr>
                    <w:adjustRightInd w:val="0"/>
                    <w:jc w:val="center"/>
                    <w:rPr>
                      <w:color w:val="auto"/>
                      <w:szCs w:val="21"/>
                    </w:rPr>
                  </w:pPr>
                  <w:r>
                    <w:rPr>
                      <w:color w:val="auto"/>
                      <w:szCs w:val="21"/>
                    </w:rPr>
                    <w:t>地理坐标</w:t>
                  </w:r>
                </w:p>
              </w:tc>
              <w:tc>
                <w:tcPr>
                  <w:tcW w:w="536" w:type="pct"/>
                  <w:noWrap w:val="0"/>
                  <w:vAlign w:val="center"/>
                </w:tcPr>
                <w:p>
                  <w:pPr>
                    <w:adjustRightInd w:val="0"/>
                    <w:jc w:val="center"/>
                    <w:rPr>
                      <w:color w:val="auto"/>
                      <w:szCs w:val="21"/>
                    </w:rPr>
                  </w:pPr>
                  <w:r>
                    <w:rPr>
                      <w:color w:val="auto"/>
                      <w:szCs w:val="21"/>
                    </w:rPr>
                    <w:t>经度</w:t>
                  </w:r>
                </w:p>
              </w:tc>
              <w:tc>
                <w:tcPr>
                  <w:tcW w:w="1356" w:type="pct"/>
                  <w:noWrap w:val="0"/>
                  <w:vAlign w:val="center"/>
                </w:tcPr>
                <w:p>
                  <w:pPr>
                    <w:adjustRightInd w:val="0"/>
                    <w:jc w:val="center"/>
                    <w:rPr>
                      <w:color w:val="auto"/>
                      <w:szCs w:val="21"/>
                    </w:rPr>
                  </w:pPr>
                  <w:r>
                    <w:rPr>
                      <w:rFonts w:hint="eastAsia"/>
                      <w:color w:val="auto"/>
                      <w:szCs w:val="21"/>
                    </w:rPr>
                    <w:t>E108°56′25.53″</w:t>
                  </w:r>
                </w:p>
              </w:tc>
              <w:tc>
                <w:tcPr>
                  <w:tcW w:w="763" w:type="pct"/>
                  <w:noWrap w:val="0"/>
                  <w:vAlign w:val="center"/>
                </w:tcPr>
                <w:p>
                  <w:pPr>
                    <w:adjustRightInd w:val="0"/>
                    <w:jc w:val="center"/>
                    <w:rPr>
                      <w:color w:val="auto"/>
                      <w:szCs w:val="21"/>
                    </w:rPr>
                  </w:pPr>
                  <w:r>
                    <w:rPr>
                      <w:color w:val="auto"/>
                      <w:szCs w:val="21"/>
                    </w:rPr>
                    <w:t>纬度</w:t>
                  </w:r>
                </w:p>
              </w:tc>
              <w:tc>
                <w:tcPr>
                  <w:tcW w:w="1370" w:type="pct"/>
                  <w:noWrap w:val="0"/>
                  <w:vAlign w:val="center"/>
                </w:tcPr>
                <w:p>
                  <w:pPr>
                    <w:adjustRightInd w:val="0"/>
                    <w:jc w:val="center"/>
                    <w:rPr>
                      <w:color w:val="auto"/>
                      <w:szCs w:val="21"/>
                    </w:rPr>
                  </w:pPr>
                  <w:r>
                    <w:rPr>
                      <w:color w:val="auto"/>
                      <w:szCs w:val="21"/>
                    </w:rPr>
                    <w:t>N</w:t>
                  </w:r>
                  <w:r>
                    <w:rPr>
                      <w:rFonts w:hint="eastAsia"/>
                      <w:color w:val="auto"/>
                      <w:szCs w:val="21"/>
                    </w:rPr>
                    <w:t>34°17′12.76″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73" w:type="pct"/>
                  <w:noWrap w:val="0"/>
                  <w:vAlign w:val="center"/>
                </w:tcPr>
                <w:p>
                  <w:pPr>
                    <w:adjustRightInd w:val="0"/>
                    <w:jc w:val="center"/>
                    <w:rPr>
                      <w:color w:val="auto"/>
                      <w:szCs w:val="21"/>
                    </w:rPr>
                  </w:pPr>
                  <w:r>
                    <w:rPr>
                      <w:color w:val="auto"/>
                      <w:szCs w:val="21"/>
                    </w:rPr>
                    <w:t>主要危险物质分布</w:t>
                  </w:r>
                </w:p>
              </w:tc>
              <w:tc>
                <w:tcPr>
                  <w:tcW w:w="4026" w:type="pct"/>
                  <w:gridSpan w:val="4"/>
                  <w:noWrap w:val="0"/>
                  <w:vAlign w:val="center"/>
                </w:tcPr>
                <w:p>
                  <w:pPr>
                    <w:adjustRightInd w:val="0"/>
                    <w:jc w:val="left"/>
                    <w:rPr>
                      <w:rFonts w:hint="default" w:eastAsia="宋体"/>
                      <w:color w:val="auto"/>
                      <w:szCs w:val="21"/>
                      <w:lang w:val="en-US" w:eastAsia="zh-CN"/>
                    </w:rPr>
                  </w:pPr>
                  <w:r>
                    <w:rPr>
                      <w:color w:val="auto"/>
                      <w:szCs w:val="21"/>
                    </w:rPr>
                    <w:t>主要危险物质为</w:t>
                  </w:r>
                  <w:r>
                    <w:rPr>
                      <w:rFonts w:hint="eastAsia"/>
                      <w:color w:val="auto"/>
                      <w:szCs w:val="21"/>
                    </w:rPr>
                    <w:t>酒精</w:t>
                  </w:r>
                  <w:r>
                    <w:rPr>
                      <w:color w:val="auto"/>
                      <w:szCs w:val="21"/>
                    </w:rPr>
                    <w:t>，主要分布于</w:t>
                  </w:r>
                  <w:r>
                    <w:rPr>
                      <w:rFonts w:hint="eastAsia"/>
                      <w:color w:val="auto"/>
                      <w:szCs w:val="21"/>
                    </w:rPr>
                    <w:t>医院</w:t>
                  </w:r>
                  <w:r>
                    <w:rPr>
                      <w:color w:val="auto"/>
                      <w:szCs w:val="21"/>
                    </w:rPr>
                    <w:t>的</w:t>
                  </w:r>
                  <w:r>
                    <w:rPr>
                      <w:rFonts w:hint="eastAsia"/>
                      <w:color w:val="auto"/>
                      <w:szCs w:val="21"/>
                      <w:lang w:val="en-US" w:eastAsia="zh-CN"/>
                    </w:rPr>
                    <w:t>库房；次氯酸钠分布于污水处理站设备间；柴油不在医院内存储，柴油发电机中有部分留存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73" w:type="pct"/>
                  <w:noWrap w:val="0"/>
                  <w:vAlign w:val="center"/>
                </w:tcPr>
                <w:p>
                  <w:pPr>
                    <w:adjustRightInd w:val="0"/>
                    <w:jc w:val="center"/>
                    <w:rPr>
                      <w:color w:val="auto"/>
                      <w:szCs w:val="21"/>
                    </w:rPr>
                  </w:pPr>
                  <w:r>
                    <w:rPr>
                      <w:color w:val="auto"/>
                      <w:szCs w:val="21"/>
                    </w:rPr>
                    <w:t>环境影响途径及危害后果</w:t>
                  </w:r>
                </w:p>
              </w:tc>
              <w:tc>
                <w:tcPr>
                  <w:tcW w:w="4026" w:type="pct"/>
                  <w:gridSpan w:val="4"/>
                  <w:noWrap w:val="0"/>
                  <w:vAlign w:val="center"/>
                </w:tcPr>
                <w:p>
                  <w:pPr>
                    <w:widowControl/>
                    <w:autoSpaceDE w:val="0"/>
                    <w:autoSpaceDN w:val="0"/>
                    <w:adjustRightInd w:val="0"/>
                    <w:spacing w:line="360" w:lineRule="auto"/>
                    <w:rPr>
                      <w:rFonts w:hint="default" w:eastAsia="宋体"/>
                      <w:color w:val="auto"/>
                      <w:szCs w:val="21"/>
                      <w:lang w:val="en-US" w:eastAsia="zh-CN"/>
                    </w:rPr>
                  </w:pPr>
                  <w:r>
                    <w:rPr>
                      <w:bCs/>
                      <w:color w:val="auto"/>
                      <w:szCs w:val="21"/>
                    </w:rPr>
                    <w:t>对本项目主要</w:t>
                  </w:r>
                  <w:r>
                    <w:rPr>
                      <w:rFonts w:hint="eastAsia"/>
                      <w:bCs/>
                      <w:color w:val="auto"/>
                      <w:szCs w:val="21"/>
                      <w:lang w:val="en-US" w:eastAsia="zh-CN"/>
                    </w:rPr>
                    <w:t>运行系统</w:t>
                  </w:r>
                  <w:r>
                    <w:rPr>
                      <w:bCs/>
                      <w:color w:val="auto"/>
                      <w:szCs w:val="21"/>
                    </w:rPr>
                    <w:t>、公用工程系统、工程环保设施及辅助生产设施等功能单元进行分析，本项目无重大危险源，产生事故风险的危险单元为</w:t>
                  </w:r>
                  <w:r>
                    <w:rPr>
                      <w:rFonts w:hint="eastAsia"/>
                      <w:bCs/>
                      <w:color w:val="auto"/>
                      <w:szCs w:val="21"/>
                      <w:lang w:val="en-US" w:eastAsia="zh-CN"/>
                    </w:rPr>
                    <w:t>库房以及污水处理站设备间</w:t>
                  </w:r>
                  <w:r>
                    <w:rPr>
                      <w:rFonts w:hint="eastAsia"/>
                      <w:bCs/>
                      <w:color w:val="auto"/>
                      <w:szCs w:val="21"/>
                    </w:rPr>
                    <w:t>的</w:t>
                  </w:r>
                  <w:r>
                    <w:rPr>
                      <w:rFonts w:hint="eastAsia"/>
                      <w:bCs/>
                      <w:color w:val="auto"/>
                      <w:szCs w:val="21"/>
                      <w:lang w:val="en-US" w:eastAsia="zh-CN"/>
                    </w:rPr>
                    <w:t>化学药品</w:t>
                  </w:r>
                  <w:r>
                    <w:rPr>
                      <w:bCs/>
                      <w:color w:val="auto"/>
                      <w:szCs w:val="21"/>
                    </w:rPr>
                    <w:t>。</w:t>
                  </w:r>
                  <w:r>
                    <w:rPr>
                      <w:rFonts w:hint="eastAsia"/>
                      <w:bCs/>
                      <w:color w:val="auto"/>
                      <w:szCs w:val="21"/>
                      <w:lang w:val="en-US" w:eastAsia="zh-CN"/>
                    </w:rPr>
                    <w:t>库房的</w:t>
                  </w:r>
                  <w:r>
                    <w:rPr>
                      <w:rFonts w:hint="eastAsia"/>
                      <w:color w:val="auto"/>
                      <w:szCs w:val="21"/>
                    </w:rPr>
                    <w:t>酒精</w:t>
                  </w:r>
                  <w:r>
                    <w:rPr>
                      <w:color w:val="auto"/>
                      <w:szCs w:val="21"/>
                    </w:rPr>
                    <w:t>泄漏后遇明火发生火灾、爆炸事故。</w:t>
                  </w:r>
                  <w:r>
                    <w:rPr>
                      <w:rFonts w:hint="eastAsia"/>
                      <w:color w:val="auto"/>
                      <w:szCs w:val="21"/>
                      <w:lang w:val="en-US" w:eastAsia="zh-CN"/>
                    </w:rPr>
                    <w:t>污水处理设备间次氯酸钠泄漏污染地下水；柴油遇明火引发火灾、爆炸事故。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73" w:type="pct"/>
                  <w:noWrap w:val="0"/>
                  <w:vAlign w:val="center"/>
                </w:tcPr>
                <w:p>
                  <w:pPr>
                    <w:adjustRightInd w:val="0"/>
                    <w:jc w:val="center"/>
                    <w:rPr>
                      <w:color w:val="auto"/>
                      <w:szCs w:val="21"/>
                    </w:rPr>
                  </w:pPr>
                  <w:r>
                    <w:rPr>
                      <w:color w:val="auto"/>
                      <w:szCs w:val="21"/>
                    </w:rPr>
                    <w:t>风险防范措施</w:t>
                  </w:r>
                </w:p>
              </w:tc>
              <w:tc>
                <w:tcPr>
                  <w:tcW w:w="4026" w:type="pct"/>
                  <w:gridSpan w:val="4"/>
                  <w:noWrap w:val="0"/>
                  <w:vAlign w:val="center"/>
                </w:tcPr>
                <w:p>
                  <w:pPr>
                    <w:spacing w:line="360" w:lineRule="auto"/>
                    <w:rPr>
                      <w:rFonts w:hint="eastAsia" w:eastAsia="宋体"/>
                      <w:color w:val="auto"/>
                      <w:szCs w:val="21"/>
                      <w:lang w:eastAsia="zh-CN"/>
                    </w:rPr>
                  </w:pPr>
                  <w:r>
                    <w:rPr>
                      <w:rFonts w:hint="eastAsia"/>
                      <w:color w:val="auto"/>
                      <w:szCs w:val="21"/>
                      <w:lang w:val="en-US" w:eastAsia="zh-CN"/>
                    </w:rPr>
                    <w:t>项目风险物质存量较低，不会造成较大的环境污染，应加强库房内巡检以及做好相应的应急培训</w:t>
                  </w:r>
                  <w:r>
                    <w:rPr>
                      <w:rFonts w:hint="eastAsia"/>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00" w:type="pct"/>
                  <w:gridSpan w:val="5"/>
                  <w:noWrap w:val="0"/>
                  <w:vAlign w:val="center"/>
                </w:tcPr>
                <w:p>
                  <w:pPr>
                    <w:adjustRightInd w:val="0"/>
                    <w:jc w:val="left"/>
                    <w:rPr>
                      <w:color w:val="auto"/>
                      <w:szCs w:val="21"/>
                    </w:rPr>
                  </w:pPr>
                  <w:r>
                    <w:rPr>
                      <w:color w:val="auto"/>
                      <w:szCs w:val="21"/>
                    </w:rPr>
                    <w:t>填表说明（列出项目相关信息及评价说明）</w:t>
                  </w:r>
                </w:p>
                <w:p>
                  <w:pPr>
                    <w:adjustRightInd w:val="0"/>
                    <w:jc w:val="left"/>
                    <w:rPr>
                      <w:color w:val="auto"/>
                      <w:szCs w:val="21"/>
                    </w:rPr>
                  </w:pPr>
                  <w:r>
                    <w:rPr>
                      <w:color w:val="auto"/>
                      <w:szCs w:val="21"/>
                    </w:rPr>
                    <w:t>项目环境风险可接受。</w:t>
                  </w:r>
                </w:p>
              </w:tc>
            </w:tr>
          </w:tbl>
          <w:p>
            <w:pPr>
              <w:spacing w:line="360" w:lineRule="auto"/>
              <w:jc w:val="center"/>
              <w:rPr>
                <w:b/>
                <w:bCs/>
                <w:color w:val="auto"/>
                <w:szCs w:val="21"/>
              </w:rPr>
            </w:pPr>
          </w:p>
          <w:p>
            <w:pPr>
              <w:spacing w:line="360" w:lineRule="auto"/>
              <w:jc w:val="center"/>
              <w:rPr>
                <w:b/>
                <w:bCs/>
                <w:color w:val="auto"/>
                <w:szCs w:val="21"/>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auto"/>
                <w:vertAlign w:val="baseline"/>
                <w:lang w:val="en-US" w:eastAsia="zh-CN"/>
              </w:rPr>
            </w:pPr>
          </w:p>
        </w:tc>
      </w:tr>
    </w:tbl>
    <w:p>
      <w:pPr>
        <w:adjustRightInd w:val="0"/>
        <w:snapToGrid w:val="0"/>
        <w:spacing w:line="360" w:lineRule="auto"/>
        <w:rPr>
          <w:rFonts w:hint="default" w:ascii="Times New Roman" w:hAnsi="Times New Roman"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22"/>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五、</w:t>
      </w:r>
      <w:bookmarkStart w:id="4" w:name="_Hlk54167917"/>
      <w:r>
        <w:rPr>
          <w:rFonts w:hint="default" w:ascii="Times New Roman" w:hAnsi="Times New Roman" w:eastAsia="黑体" w:cs="Times New Roman"/>
          <w:snapToGrid w:val="0"/>
          <w:color w:val="auto"/>
          <w:sz w:val="30"/>
          <w:szCs w:val="30"/>
        </w:rPr>
        <w:t>环境保护措施监督检查清单</w:t>
      </w:r>
      <w:bookmarkEnd w:id="4"/>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55"/>
        <w:gridCol w:w="1755"/>
        <w:gridCol w:w="1755"/>
        <w:gridCol w:w="17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tcBorders>
              <w:tl2br w:val="single" w:color="auto" w:sz="4" w:space="0"/>
            </w:tcBorders>
            <w:noWrap w:val="0"/>
            <w:vAlign w:val="top"/>
          </w:tcPr>
          <w:p>
            <w:pPr>
              <w:adjustRightInd w:val="0"/>
              <w:snapToGrid w:val="0"/>
              <w:ind w:firstLine="840"/>
              <w:rPr>
                <w:rFonts w:hint="default" w:ascii="Times New Roman" w:hAnsi="Times New Roman" w:cs="Times New Roman"/>
                <w:color w:val="auto"/>
                <w:szCs w:val="21"/>
              </w:rPr>
            </w:pPr>
            <w:r>
              <w:rPr>
                <w:rFonts w:hint="default" w:ascii="Times New Roman" w:hAnsi="Times New Roman" w:cs="Times New Roman"/>
                <w:color w:val="auto"/>
                <w:szCs w:val="21"/>
              </w:rPr>
              <w:t>内容</w:t>
            </w:r>
          </w:p>
          <w:p>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要素</w:t>
            </w:r>
          </w:p>
        </w:tc>
        <w:tc>
          <w:tcPr>
            <w:tcW w:w="175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排放口(编号、</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名称)/污染源</w:t>
            </w:r>
          </w:p>
        </w:tc>
        <w:tc>
          <w:tcPr>
            <w:tcW w:w="175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175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环境保护措施</w:t>
            </w:r>
          </w:p>
        </w:tc>
        <w:tc>
          <w:tcPr>
            <w:tcW w:w="1757"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8" w:type="dxa"/>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ascii="Times New Roman" w:hAnsi="Times New Roman" w:eastAsia="宋体" w:cs="Times New Roman"/>
                <w:color w:val="FF0000"/>
                <w:szCs w:val="21"/>
                <w:lang w:val="en-US" w:eastAsia="zh-CN"/>
              </w:rPr>
            </w:pPr>
            <w:r>
              <w:rPr>
                <w:rFonts w:hint="eastAsia" w:cs="Times New Roman"/>
                <w:color w:val="FF0000"/>
                <w:szCs w:val="21"/>
                <w:lang w:val="en-US" w:eastAsia="zh-CN"/>
              </w:rPr>
              <w:t>污水处理站</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NH</w:t>
            </w:r>
            <w:r>
              <w:rPr>
                <w:rFonts w:hint="eastAsia" w:cs="Times New Roman"/>
                <w:color w:val="FF0000"/>
                <w:szCs w:val="21"/>
                <w:vertAlign w:val="subscript"/>
                <w:lang w:val="en-US" w:eastAsia="zh-CN"/>
              </w:rPr>
              <w:t>3</w:t>
            </w:r>
            <w:r>
              <w:rPr>
                <w:rFonts w:hint="eastAsia" w:cs="Times New Roman"/>
                <w:color w:val="FF0000"/>
                <w:szCs w:val="21"/>
                <w:lang w:val="en-US" w:eastAsia="zh-CN"/>
              </w:rPr>
              <w:t>、H</w:t>
            </w:r>
            <w:r>
              <w:rPr>
                <w:rFonts w:hint="eastAsia" w:cs="Times New Roman"/>
                <w:color w:val="FF0000"/>
                <w:szCs w:val="21"/>
                <w:vertAlign w:val="subscript"/>
                <w:lang w:val="en-US" w:eastAsia="zh-CN"/>
              </w:rPr>
              <w:t>2</w:t>
            </w:r>
            <w:r>
              <w:rPr>
                <w:rFonts w:hint="eastAsia" w:cs="Times New Roman"/>
                <w:color w:val="FF0000"/>
                <w:szCs w:val="21"/>
                <w:lang w:val="en-US" w:eastAsia="zh-CN"/>
              </w:rPr>
              <w:t>S</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rPr>
              <w:t>污水处理设施</w:t>
            </w:r>
            <w:r>
              <w:rPr>
                <w:rFonts w:hint="eastAsia" w:ascii="Times New Roman" w:hAnsi="Times New Roman" w:cs="Times New Roman"/>
                <w:color w:val="FF0000"/>
                <w:szCs w:val="21"/>
              </w:rPr>
              <w:t>采取</w:t>
            </w:r>
            <w:r>
              <w:rPr>
                <w:rFonts w:hint="eastAsia" w:cs="Times New Roman"/>
                <w:color w:val="FF0000"/>
                <w:szCs w:val="21"/>
                <w:lang w:val="en-US" w:eastAsia="zh-CN"/>
              </w:rPr>
              <w:t>地下安置</w:t>
            </w:r>
            <w:r>
              <w:rPr>
                <w:rFonts w:hint="eastAsia" w:ascii="Times New Roman" w:hAnsi="Times New Roman" w:cs="Times New Roman"/>
                <w:color w:val="FF0000"/>
                <w:szCs w:val="21"/>
              </w:rPr>
              <w:t>，</w:t>
            </w:r>
            <w:r>
              <w:rPr>
                <w:rFonts w:hint="eastAsia" w:cs="Times New Roman"/>
                <w:color w:val="FF0000"/>
                <w:szCs w:val="21"/>
                <w:lang w:val="en-US" w:eastAsia="zh-CN"/>
              </w:rPr>
              <w:t>密闭加盖</w:t>
            </w:r>
            <w:r>
              <w:rPr>
                <w:rFonts w:hint="eastAsia" w:cs="Times New Roman"/>
                <w:color w:val="FF0000"/>
                <w:szCs w:val="21"/>
                <w:lang w:eastAsia="zh-CN"/>
              </w:rPr>
              <w:t>，</w:t>
            </w:r>
            <w:r>
              <w:rPr>
                <w:rFonts w:hint="eastAsia" w:cs="Times New Roman"/>
                <w:color w:val="FF0000"/>
                <w:szCs w:val="21"/>
                <w:lang w:val="en-US" w:eastAsia="zh-CN"/>
              </w:rPr>
              <w:t>污水处理站四周</w:t>
            </w:r>
            <w:r>
              <w:rPr>
                <w:rFonts w:hint="default" w:ascii="Times New Roman" w:hAnsi="Times New Roman" w:cs="Times New Roman"/>
                <w:color w:val="FF0000"/>
                <w:szCs w:val="21"/>
              </w:rPr>
              <w:t>定期喷洒生物除臭剂，减少臭气产生量</w:t>
            </w:r>
            <w:r>
              <w:rPr>
                <w:rFonts w:hint="eastAsia" w:ascii="Times New Roman" w:hAnsi="Times New Roman" w:cs="Times New Roman"/>
                <w:color w:val="FF0000"/>
                <w:szCs w:val="21"/>
              </w:rPr>
              <w:t>；</w:t>
            </w:r>
          </w:p>
        </w:tc>
        <w:tc>
          <w:tcPr>
            <w:tcW w:w="1757"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cs="Times New Roman"/>
                <w:color w:val="FF0000"/>
                <w:szCs w:val="21"/>
                <w:lang w:val="en-US" w:eastAsia="zh-CN"/>
              </w:rPr>
            </w:pPr>
            <w:r>
              <w:rPr>
                <w:rFonts w:hint="default" w:ascii="Times New Roman" w:hAnsi="Times New Roman" w:cs="Times New Roman"/>
                <w:color w:val="FF0000"/>
                <w:szCs w:val="21"/>
              </w:rPr>
              <w:t>《医疗机构水污染排放标准》（GB18466-2005）中关于废气排放要求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8"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备用发电机</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ascii="Times New Roman" w:hAnsi="Times New Roman" w:cs="Times New Roman"/>
                <w:color w:val="auto"/>
                <w:szCs w:val="21"/>
              </w:rPr>
            </w:pPr>
            <w:r>
              <w:rPr>
                <w:rFonts w:hint="eastAsia" w:ascii="Times New Roman" w:hAnsi="Times New Roman" w:cs="Times New Roman"/>
                <w:color w:val="auto"/>
                <w:szCs w:val="21"/>
              </w:rPr>
              <w:t>SO</w:t>
            </w:r>
            <w:r>
              <w:rPr>
                <w:rFonts w:hint="eastAsia" w:ascii="Times New Roman" w:hAnsi="Times New Roman" w:cs="Times New Roman"/>
                <w:color w:val="auto"/>
                <w:szCs w:val="21"/>
                <w:vertAlign w:val="subscript"/>
              </w:rPr>
              <w:t>2</w:t>
            </w:r>
            <w:r>
              <w:rPr>
                <w:rFonts w:hint="eastAsia" w:ascii="Times New Roman" w:hAnsi="Times New Roman" w:cs="Times New Roman"/>
                <w:color w:val="auto"/>
                <w:szCs w:val="21"/>
              </w:rPr>
              <w:t>、NO</w:t>
            </w:r>
            <w:r>
              <w:rPr>
                <w:rFonts w:hint="eastAsia" w:ascii="Times New Roman" w:hAnsi="Times New Roman" w:cs="Times New Roman"/>
                <w:color w:val="auto"/>
                <w:szCs w:val="21"/>
                <w:vertAlign w:val="subscript"/>
              </w:rPr>
              <w:t>X</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设备自带排气筒</w:t>
            </w:r>
          </w:p>
        </w:tc>
        <w:tc>
          <w:tcPr>
            <w:tcW w:w="1757"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《大气污染物综合排放标准》（GB 16297-1996）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8"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食堂</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油烟</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油烟净化器</w:t>
            </w:r>
          </w:p>
        </w:tc>
        <w:tc>
          <w:tcPr>
            <w:tcW w:w="1757"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ascii="Times New Roman" w:hAnsi="Times New Roman" w:eastAsia="宋体" w:cs="Times New Roman"/>
                <w:color w:val="auto"/>
                <w:szCs w:val="21"/>
                <w:lang w:eastAsia="zh-CN"/>
              </w:rPr>
            </w:pPr>
            <w:r>
              <w:rPr>
                <w:rFonts w:hint="default" w:ascii="Times New Roman" w:hAnsi="Times New Roman" w:cs="Times New Roman"/>
                <w:color w:val="auto"/>
                <w:szCs w:val="21"/>
              </w:rPr>
              <w:t>《饮食业油烟排放标准》（GB18483-2001）</w:t>
            </w:r>
            <w:r>
              <w:rPr>
                <w:rFonts w:hint="eastAsia" w:cs="Times New Roman"/>
                <w:color w:val="auto"/>
                <w:szCs w:val="21"/>
                <w:lang w:eastAsia="zh-CN"/>
              </w:rPr>
              <w:t>（</w:t>
            </w:r>
            <w:r>
              <w:rPr>
                <w:rFonts w:hint="eastAsia" w:cs="Times New Roman"/>
                <w:color w:val="auto"/>
                <w:szCs w:val="21"/>
                <w:lang w:val="en-US" w:eastAsia="zh-CN"/>
              </w:rPr>
              <w:t>小型</w:t>
            </w:r>
            <w:r>
              <w:rPr>
                <w:rFonts w:hint="eastAsia" w:cs="Times New Roman"/>
                <w:color w:val="auto"/>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地表水环境</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rPr>
              <w:t>DW001/废水</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COD、BOD</w:t>
            </w:r>
            <w:r>
              <w:rPr>
                <w:rFonts w:hint="default" w:ascii="Times New Roman" w:hAnsi="Times New Roman" w:cs="Times New Roman"/>
                <w:color w:val="auto"/>
                <w:szCs w:val="21"/>
                <w:vertAlign w:val="subscript"/>
              </w:rPr>
              <w:t>5</w:t>
            </w:r>
          </w:p>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氨氮、SS、</w:t>
            </w:r>
            <w:r>
              <w:rPr>
                <w:rFonts w:hint="eastAsia" w:ascii="Times New Roman" w:hAnsi="Times New Roman" w:cs="Times New Roman"/>
                <w:color w:val="auto"/>
                <w:szCs w:val="21"/>
              </w:rPr>
              <w:t>粪大肠菌群</w:t>
            </w:r>
          </w:p>
        </w:tc>
        <w:tc>
          <w:tcPr>
            <w:tcW w:w="1755"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食堂废水经隔油池预处理后与</w:t>
            </w:r>
            <w:r>
              <w:rPr>
                <w:rFonts w:hint="eastAsia" w:ascii="Times New Roman" w:hAnsi="Times New Roman" w:cs="Times New Roman"/>
                <w:color w:val="auto"/>
                <w:szCs w:val="21"/>
              </w:rPr>
              <w:t>生活污水、医疗废水</w:t>
            </w:r>
            <w:r>
              <w:rPr>
                <w:rFonts w:hint="eastAsia" w:cs="Times New Roman"/>
                <w:color w:val="auto"/>
                <w:szCs w:val="21"/>
                <w:lang w:val="en-US" w:eastAsia="zh-CN"/>
              </w:rPr>
              <w:t>经</w:t>
            </w:r>
            <w:r>
              <w:rPr>
                <w:rFonts w:hint="default" w:ascii="Times New Roman" w:hAnsi="Times New Roman" w:cs="Times New Roman"/>
                <w:color w:val="auto"/>
                <w:szCs w:val="21"/>
              </w:rPr>
              <w:t>“</w:t>
            </w:r>
            <w:r>
              <w:rPr>
                <w:rFonts w:hint="eastAsia" w:ascii="Times New Roman" w:hAnsi="Times New Roman" w:cs="Times New Roman"/>
                <w:color w:val="auto"/>
                <w:szCs w:val="21"/>
              </w:rPr>
              <w:t>化粪池+</w:t>
            </w:r>
            <w:r>
              <w:rPr>
                <w:rFonts w:hint="eastAsia" w:cs="Times New Roman"/>
                <w:color w:val="auto"/>
                <w:szCs w:val="21"/>
                <w:lang w:val="en-US" w:eastAsia="zh-CN"/>
              </w:rPr>
              <w:t>预处理+A/O+次氯酸钠消毒</w:t>
            </w:r>
            <w:r>
              <w:rPr>
                <w:rFonts w:hint="default" w:ascii="Times New Roman" w:hAnsi="Times New Roman" w:cs="Times New Roman"/>
                <w:color w:val="auto"/>
                <w:szCs w:val="21"/>
              </w:rPr>
              <w:t>”</w:t>
            </w:r>
            <w:r>
              <w:rPr>
                <w:rFonts w:hint="eastAsia" w:ascii="Times New Roman" w:hAnsi="Times New Roman" w:cs="Times New Roman"/>
                <w:color w:val="auto"/>
                <w:szCs w:val="21"/>
              </w:rPr>
              <w:t>处理工艺处理，经市政污水管网排至污水处理厂进一步处理；</w:t>
            </w:r>
          </w:p>
        </w:tc>
        <w:tc>
          <w:tcPr>
            <w:tcW w:w="1757" w:type="dxa"/>
            <w:noWrap w:val="0"/>
            <w:vAlign w:val="center"/>
          </w:tcPr>
          <w:p>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《医疗机构水污染物排放标准》（GB18466-2005）表2规定的预处理标准；</w:t>
            </w:r>
            <w:r>
              <w:rPr>
                <w:rFonts w:hint="default" w:ascii="Times New Roman" w:hAnsi="Times New Roman" w:cs="Times New Roman"/>
                <w:color w:val="auto"/>
                <w:szCs w:val="21"/>
                <w:lang w:val="en-GB"/>
              </w:rPr>
              <w:t>《污水排入城镇下水道水质标准》（GB/T31962-2015）</w:t>
            </w:r>
            <w:r>
              <w:rPr>
                <w:rFonts w:hint="eastAsia" w:ascii="Times New Roman" w:hAnsi="Times New Roman" w:cs="Times New Roman"/>
                <w:color w:val="auto"/>
                <w:szCs w:val="21"/>
              </w:rPr>
              <w:t>A级</w:t>
            </w:r>
            <w:r>
              <w:rPr>
                <w:rFonts w:hint="default" w:ascii="Times New Roman" w:hAnsi="Times New Roman" w:cs="Times New Roman"/>
                <w:color w:val="auto"/>
                <w:szCs w:val="21"/>
                <w:lang w:val="en-GB"/>
              </w:rPr>
              <w:t>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175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污水处理</w:t>
            </w:r>
          </w:p>
        </w:tc>
        <w:tc>
          <w:tcPr>
            <w:tcW w:w="1755" w:type="dxa"/>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color w:val="auto"/>
                <w:szCs w:val="21"/>
              </w:rPr>
              <w:t>污水处理设备水泵</w:t>
            </w:r>
          </w:p>
        </w:tc>
        <w:tc>
          <w:tcPr>
            <w:tcW w:w="1755" w:type="dxa"/>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rFonts w:hint="eastAsia"/>
                <w:color w:val="auto"/>
                <w:szCs w:val="21"/>
                <w:lang w:val="en-US" w:eastAsia="zh-CN"/>
              </w:rPr>
              <w:t>投药泵</w:t>
            </w:r>
            <w:r>
              <w:rPr>
                <w:color w:val="auto"/>
                <w:szCs w:val="21"/>
              </w:rPr>
              <w:t>置于</w:t>
            </w:r>
            <w:r>
              <w:rPr>
                <w:rFonts w:hint="eastAsia"/>
                <w:color w:val="auto"/>
                <w:szCs w:val="21"/>
              </w:rPr>
              <w:t>污水处理间</w:t>
            </w:r>
            <w:r>
              <w:rPr>
                <w:color w:val="auto"/>
                <w:szCs w:val="21"/>
              </w:rPr>
              <w:t>隔声，</w:t>
            </w:r>
            <w:r>
              <w:rPr>
                <w:rFonts w:hint="eastAsia"/>
                <w:color w:val="auto"/>
                <w:szCs w:val="21"/>
                <w:lang w:val="en-US" w:eastAsia="zh-CN"/>
              </w:rPr>
              <w:t>曝气泵及提升泵地下安置，</w:t>
            </w:r>
            <w:r>
              <w:rPr>
                <w:color w:val="auto"/>
                <w:szCs w:val="21"/>
              </w:rPr>
              <w:t>选用低噪设备等措施</w:t>
            </w:r>
          </w:p>
        </w:tc>
        <w:tc>
          <w:tcPr>
            <w:tcW w:w="1757" w:type="dxa"/>
            <w:vMerge w:val="restart"/>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color w:val="auto"/>
                <w:szCs w:val="21"/>
              </w:rPr>
              <w:t>《工业企业厂界环境噪声排放标准》（GB12348-2008）</w:t>
            </w:r>
            <w:r>
              <w:rPr>
                <w:rFonts w:hint="eastAsia"/>
                <w:color w:val="auto"/>
                <w:szCs w:val="21"/>
              </w:rPr>
              <w:t>中</w:t>
            </w:r>
            <w:r>
              <w:rPr>
                <w:rFonts w:hint="eastAsia"/>
                <w:snapToGrid w:val="0"/>
                <w:color w:val="auto"/>
                <w:szCs w:val="21"/>
                <w:lang w:val="en-US" w:eastAsia="zh-CN"/>
              </w:rPr>
              <w:t>1</w:t>
            </w:r>
            <w:r>
              <w:rPr>
                <w:rFonts w:hint="eastAsia"/>
                <w:snapToGrid w:val="0"/>
                <w:color w:val="auto"/>
                <w:szCs w:val="21"/>
              </w:rPr>
              <w:t>类和4类标准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75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医疗设备</w:t>
            </w:r>
          </w:p>
        </w:tc>
        <w:tc>
          <w:tcPr>
            <w:tcW w:w="1755" w:type="dxa"/>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rFonts w:hint="eastAsia"/>
                <w:color w:val="auto"/>
                <w:szCs w:val="21"/>
                <w:lang w:val="en-US" w:eastAsia="zh-CN"/>
              </w:rPr>
              <w:t>/</w:t>
            </w:r>
          </w:p>
        </w:tc>
        <w:tc>
          <w:tcPr>
            <w:tcW w:w="1755" w:type="dxa"/>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r>
              <w:rPr>
                <w:color w:val="auto"/>
                <w:szCs w:val="21"/>
              </w:rPr>
              <w:t>选用低噪声设备，</w:t>
            </w:r>
            <w:r>
              <w:rPr>
                <w:rFonts w:hint="eastAsia"/>
                <w:color w:val="auto"/>
                <w:szCs w:val="21"/>
                <w:lang w:val="en-US" w:eastAsia="zh-CN"/>
              </w:rPr>
              <w:t>墙体隔声等措施</w:t>
            </w:r>
          </w:p>
        </w:tc>
        <w:tc>
          <w:tcPr>
            <w:tcW w:w="1757" w:type="dxa"/>
            <w:vMerge w:val="continue"/>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755" w:type="dxa"/>
            <w:noWrap w:val="0"/>
            <w:vAlign w:val="center"/>
          </w:tcPr>
          <w:p>
            <w:pPr>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食堂</w:t>
            </w:r>
          </w:p>
        </w:tc>
        <w:tc>
          <w:tcPr>
            <w:tcW w:w="1755" w:type="dxa"/>
            <w:noWrap w:val="0"/>
            <w:vAlign w:val="center"/>
          </w:tcPr>
          <w:p>
            <w:pPr>
              <w:pStyle w:val="62"/>
              <w:ind w:firstLine="0" w:firstLineChars="0"/>
              <w:rPr>
                <w:rFonts w:hint="default"/>
                <w:color w:val="auto"/>
                <w:szCs w:val="21"/>
                <w:lang w:val="en-US" w:eastAsia="zh-CN"/>
              </w:rPr>
            </w:pPr>
            <w:r>
              <w:rPr>
                <w:rFonts w:hint="eastAsia"/>
                <w:color w:val="auto"/>
                <w:szCs w:val="21"/>
                <w:lang w:val="en-US" w:eastAsia="zh-CN"/>
              </w:rPr>
              <w:t>油烟净化器风机</w:t>
            </w:r>
          </w:p>
        </w:tc>
        <w:tc>
          <w:tcPr>
            <w:tcW w:w="1755" w:type="dxa"/>
            <w:noWrap w:val="0"/>
            <w:vAlign w:val="center"/>
          </w:tcPr>
          <w:p>
            <w:pPr>
              <w:pStyle w:val="62"/>
              <w:ind w:firstLine="0" w:firstLineChars="0"/>
              <w:rPr>
                <w:rFonts w:hint="default" w:eastAsia="宋体"/>
                <w:color w:val="auto"/>
                <w:szCs w:val="21"/>
                <w:lang w:val="en-US" w:eastAsia="zh-CN"/>
              </w:rPr>
            </w:pPr>
            <w:r>
              <w:rPr>
                <w:rFonts w:hint="eastAsia"/>
                <w:color w:val="auto"/>
                <w:szCs w:val="21"/>
                <w:lang w:val="en-US" w:eastAsia="zh-CN"/>
              </w:rPr>
              <w:t>墙体隔声，选用低噪声设备</w:t>
            </w:r>
          </w:p>
        </w:tc>
        <w:tc>
          <w:tcPr>
            <w:tcW w:w="1757" w:type="dxa"/>
            <w:noWrap w:val="0"/>
            <w:vAlign w:val="center"/>
          </w:tcPr>
          <w:p>
            <w:pPr>
              <w:pStyle w:val="62"/>
              <w:ind w:firstLine="0" w:firstLineChars="0"/>
              <w:rPr>
                <w:rFonts w:hint="default" w:ascii="Times New Roman" w:hAnsi="Times New Roman" w:eastAsia="宋体" w:cs="Times New Roman"/>
                <w:color w:val="auto"/>
                <w:kern w:val="44"/>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电磁辐射</w:t>
            </w:r>
          </w:p>
        </w:tc>
        <w:tc>
          <w:tcPr>
            <w:tcW w:w="175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175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175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1757"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11" w:hRule="atLeast"/>
          <w:jc w:val="center"/>
        </w:trPr>
        <w:tc>
          <w:tcPr>
            <w:tcW w:w="1778"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7022" w:type="dxa"/>
            <w:gridSpan w:val="4"/>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生活垃圾设置分类垃圾桶，由环卫部门处置</w:t>
            </w:r>
            <w:r>
              <w:rPr>
                <w:rFonts w:hint="eastAsia" w:cs="Times New Roman"/>
                <w:color w:val="auto"/>
                <w:szCs w:val="21"/>
                <w:lang w:val="en-US" w:eastAsia="zh-CN"/>
              </w:rPr>
              <w:t>；餐厨垃圾设置餐厨垃圾收集桶，定期交由有资质单位收集处置；隔油池废油脂</w:t>
            </w:r>
            <w:r>
              <w:rPr>
                <w:rFonts w:hint="eastAsia" w:cs="Times New Roman"/>
                <w:color w:val="FF0000"/>
                <w:szCs w:val="21"/>
                <w:lang w:val="en-US" w:eastAsia="zh-CN"/>
              </w:rPr>
              <w:t>在食堂暂存，定期交由有资质的餐厨垃圾处置单位处置；油烟净化器废油脂及清洗废液交由有资质的餐厨垃圾处置单位处置</w:t>
            </w:r>
            <w:r>
              <w:rPr>
                <w:rFonts w:hint="eastAsia" w:cs="Times New Roman"/>
                <w:color w:val="auto"/>
                <w:szCs w:val="21"/>
                <w:lang w:val="en-US" w:eastAsia="zh-CN"/>
              </w:rPr>
              <w:t>；医疗废物进入医疗废物暂存</w:t>
            </w:r>
            <w:r>
              <w:rPr>
                <w:rFonts w:hint="eastAsia" w:cs="Times New Roman"/>
                <w:color w:val="FF0000"/>
                <w:szCs w:val="21"/>
                <w:lang w:val="en-US" w:eastAsia="zh-CN"/>
              </w:rPr>
              <w:t>间暂存，定期交由有资质单位处置；输液瓶（袋）交由有资质单位处置；污水处理站污泥消毒后交由有资质单位处置；医</w:t>
            </w:r>
            <w:r>
              <w:rPr>
                <w:rFonts w:hint="eastAsia" w:cs="Times New Roman"/>
                <w:color w:val="auto"/>
                <w:szCs w:val="21"/>
                <w:lang w:val="en-US" w:eastAsia="zh-CN"/>
              </w:rPr>
              <w:t>患被服交由专业机构清洗消毒后回用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6" w:hRule="atLeast"/>
          <w:jc w:val="center"/>
        </w:trPr>
        <w:tc>
          <w:tcPr>
            <w:tcW w:w="1778"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污染防治措施</w:t>
            </w:r>
          </w:p>
        </w:tc>
        <w:tc>
          <w:tcPr>
            <w:tcW w:w="7022" w:type="dxa"/>
            <w:gridSpan w:val="4"/>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color w:val="auto"/>
                <w:szCs w:val="21"/>
              </w:rPr>
              <w:t>医院内的医疗废物经收集后先采用完好无损的容器盛装，然后集中在医疗废物临时贮存场暂存，要求医疗固体废物场内暂存场所做好防渗，可有效防止对大气、地表水、地下水和土壤的不利影响。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1778"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生态保护措施</w:t>
            </w:r>
          </w:p>
        </w:tc>
        <w:tc>
          <w:tcPr>
            <w:tcW w:w="7022"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cs="Times New Roman"/>
                <w:color w:val="auto"/>
                <w:szCs w:val="21"/>
                <w:lang w:val="en-US" w:eastAsia="zh-CN"/>
              </w:rPr>
            </w:pPr>
            <w:r>
              <w:rPr>
                <w:rFonts w:hint="eastAsia" w:cs="Times New Roman"/>
                <w:b/>
                <w:bCs/>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2" w:hRule="atLeast"/>
          <w:jc w:val="center"/>
        </w:trPr>
        <w:tc>
          <w:tcPr>
            <w:tcW w:w="1778" w:type="dxa"/>
            <w:noWrap w:val="0"/>
            <w:vAlign w:val="center"/>
          </w:tcPr>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环境风险</w:t>
            </w:r>
          </w:p>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防范措施</w:t>
            </w:r>
          </w:p>
        </w:tc>
        <w:tc>
          <w:tcPr>
            <w:tcW w:w="7022"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①针对医院所涉及的风险物质、风险单元等，建立环境风险风控和应急措施制度，明确环境风险防控重点岗位的责任机构，编制《突发环境事件应急预案》；②定期对职工开展环境风险和环境应急管理宣传和培训；强化安全、消防和环保管理，建立管理机构，制定各项管理制度，加强日常监督检查；③在各风险单元配备必要的应急物资和应急设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42" w:hRule="atLeast"/>
          <w:jc w:val="center"/>
        </w:trPr>
        <w:tc>
          <w:tcPr>
            <w:tcW w:w="1778" w:type="dxa"/>
            <w:noWrap w:val="0"/>
            <w:vAlign w:val="center"/>
          </w:tcPr>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其他环境</w:t>
            </w:r>
          </w:p>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管理要求</w:t>
            </w:r>
          </w:p>
        </w:tc>
        <w:tc>
          <w:tcPr>
            <w:tcW w:w="7022"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根据《固定污染源排污许可分类管理名录》填报排污许可简化管理并取得排污许可证。</w:t>
            </w:r>
          </w:p>
        </w:tc>
      </w:tr>
    </w:tbl>
    <w:p>
      <w:pPr>
        <w:pStyle w:val="22"/>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cs="Times New Roman"/>
          <w:snapToGrid w:val="0"/>
          <w:color w:val="auto"/>
        </w:rPr>
        <w:br w:type="page"/>
      </w:r>
      <w:r>
        <w:rPr>
          <w:rFonts w:hint="default" w:ascii="Times New Roman" w:hAnsi="Times New Roman" w:eastAsia="黑体" w:cs="Times New Roman"/>
          <w:snapToGrid w:val="0"/>
          <w:color w:val="auto"/>
          <w:sz w:val="30"/>
          <w:szCs w:val="30"/>
        </w:rPr>
        <w:t>六、结论</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pPr>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宋体" w:cs="Times New Roman"/>
                <w:color w:val="auto"/>
                <w:sz w:val="24"/>
              </w:rPr>
              <w:t>从</w:t>
            </w:r>
            <w:r>
              <w:rPr>
                <w:rFonts w:hint="eastAsia" w:cs="Times New Roman"/>
                <w:color w:val="auto"/>
                <w:sz w:val="24"/>
                <w:lang w:val="en-US" w:eastAsia="zh-CN"/>
              </w:rPr>
              <w:t>环保</w:t>
            </w:r>
            <w:r>
              <w:rPr>
                <w:rFonts w:hint="default" w:ascii="Times New Roman" w:hAnsi="Times New Roman" w:eastAsia="宋体" w:cs="Times New Roman"/>
                <w:color w:val="auto"/>
                <w:sz w:val="24"/>
                <w:lang w:val="en-US" w:eastAsia="zh-CN"/>
              </w:rPr>
              <w:t>角度分析</w:t>
            </w:r>
            <w:r>
              <w:rPr>
                <w:rFonts w:hint="default" w:ascii="Times New Roman" w:hAnsi="Times New Roman" w:eastAsia="宋体" w:cs="Times New Roman"/>
                <w:color w:val="auto"/>
                <w:sz w:val="24"/>
              </w:rPr>
              <w:t>，本项目建设是可行的</w:t>
            </w:r>
            <w:r>
              <w:rPr>
                <w:rFonts w:hint="default" w:ascii="Times New Roman" w:hAnsi="Times New Roman" w:cs="Times New Roman"/>
                <w:color w:val="auto"/>
                <w:sz w:val="24"/>
              </w:rPr>
              <w:t>。</w:t>
            </w:r>
          </w:p>
        </w:tc>
      </w:tr>
    </w:tbl>
    <w:p>
      <w:pPr>
        <w:rPr>
          <w:rFonts w:hint="default" w:ascii="Times New Roman" w:hAnsi="Times New Roman"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hint="default" w:ascii="Times New Roman" w:hAnsi="Times New Roman" w:eastAsia="黑体" w:cs="Times New Roman"/>
          <w:snapToGrid w:val="0"/>
          <w:color w:val="auto"/>
          <w:sz w:val="32"/>
          <w:szCs w:val="32"/>
        </w:rPr>
      </w:pPr>
      <w:r>
        <w:rPr>
          <w:rFonts w:hint="default" w:ascii="Times New Roman" w:hAnsi="Times New Roman" w:eastAsia="黑体" w:cs="Times New Roman"/>
          <w:snapToGrid w:val="0"/>
          <w:color w:val="auto"/>
          <w:sz w:val="32"/>
          <w:szCs w:val="32"/>
        </w:rPr>
        <w:t>附表</w:t>
      </w:r>
    </w:p>
    <w:p>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default" w:ascii="Times New Roman" w:hAnsi="Times New Roman" w:eastAsia="方正小标宋_GBK" w:cs="Times New Roman"/>
          <w:snapToGrid w:val="0"/>
          <w:color w:val="auto"/>
          <w:sz w:val="38"/>
          <w:szCs w:val="38"/>
        </w:rPr>
      </w:pPr>
      <w:r>
        <w:rPr>
          <w:rFonts w:hint="default" w:ascii="Times New Roman" w:hAnsi="Times New Roman" w:eastAsia="方正小标宋_GBK" w:cs="Times New Roman"/>
          <w:snapToGrid w:val="0"/>
          <w:color w:val="auto"/>
          <w:sz w:val="38"/>
          <w:szCs w:val="38"/>
        </w:rPr>
        <w:t>建设项目污染物排放量汇总表</w:t>
      </w:r>
    </w:p>
    <w:tbl>
      <w:tblPr>
        <w:tblStyle w:val="2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753"/>
        <w:gridCol w:w="103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noWrap w:val="0"/>
            <w:tcMar>
              <w:left w:w="28" w:type="dxa"/>
              <w:right w:w="28" w:type="dxa"/>
            </w:tcMar>
            <w:vAlign w:val="center"/>
          </w:tcPr>
          <w:p>
            <w:pPr>
              <w:pStyle w:val="48"/>
              <w:spacing w:beforeLines="0" w:afterLines="0" w:line="240" w:lineRule="auto"/>
              <w:jc w:val="right"/>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项目</w:t>
            </w:r>
          </w:p>
          <w:p>
            <w:pPr>
              <w:pStyle w:val="48"/>
              <w:spacing w:beforeLines="0" w:afterLines="0" w:line="240" w:lineRule="auto"/>
              <w:jc w:val="left"/>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分类</w:t>
            </w:r>
          </w:p>
        </w:tc>
        <w:tc>
          <w:tcPr>
            <w:tcW w:w="1417"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污染物名称</w:t>
            </w:r>
          </w:p>
        </w:tc>
        <w:tc>
          <w:tcPr>
            <w:tcW w:w="1701"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w:t>
            </w:r>
          </w:p>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1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①</w:t>
            </w:r>
            <w:r>
              <w:rPr>
                <w:rFonts w:hint="default" w:ascii="Times New Roman" w:hAnsi="Times New Roman" w:eastAsia="黑体" w:cs="Times New Roman"/>
                <w:snapToGrid w:val="0"/>
                <w:color w:val="auto"/>
                <w:spacing w:val="-6"/>
                <w:kern w:val="21"/>
                <w:szCs w:val="21"/>
              </w:rPr>
              <w:fldChar w:fldCharType="end"/>
            </w:r>
          </w:p>
        </w:tc>
        <w:tc>
          <w:tcPr>
            <w:tcW w:w="1276"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w:t>
            </w:r>
          </w:p>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许可排放量</w:t>
            </w:r>
          </w:p>
          <w:p>
            <w:pPr>
              <w:pStyle w:val="48"/>
              <w:spacing w:beforeLines="0" w:afterLines="0"/>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2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snapToGrid w:val="0"/>
                <w:color w:val="auto"/>
                <w:spacing w:val="-6"/>
                <w:kern w:val="21"/>
                <w:szCs w:val="21"/>
              </w:rPr>
              <w:t>②</w:t>
            </w:r>
            <w:r>
              <w:rPr>
                <w:rFonts w:hint="default" w:ascii="Times New Roman" w:hAnsi="Times New Roman" w:eastAsia="黑体" w:cs="Times New Roman"/>
                <w:snapToGrid w:val="0"/>
                <w:color w:val="auto"/>
                <w:spacing w:val="-6"/>
                <w:kern w:val="21"/>
                <w:szCs w:val="21"/>
              </w:rPr>
              <w:fldChar w:fldCharType="end"/>
            </w:r>
          </w:p>
        </w:tc>
        <w:tc>
          <w:tcPr>
            <w:tcW w:w="1701"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在建工程</w:t>
            </w:r>
          </w:p>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3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③</w:t>
            </w:r>
            <w:r>
              <w:rPr>
                <w:rFonts w:hint="default" w:ascii="Times New Roman" w:hAnsi="Times New Roman" w:eastAsia="黑体" w:cs="Times New Roman"/>
                <w:snapToGrid w:val="0"/>
                <w:color w:val="auto"/>
                <w:spacing w:val="-6"/>
                <w:kern w:val="21"/>
                <w:szCs w:val="21"/>
              </w:rPr>
              <w:fldChar w:fldCharType="end"/>
            </w:r>
          </w:p>
        </w:tc>
        <w:tc>
          <w:tcPr>
            <w:tcW w:w="1559"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本项目</w:t>
            </w:r>
          </w:p>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4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④</w:t>
            </w:r>
            <w:r>
              <w:rPr>
                <w:rFonts w:hint="default" w:ascii="Times New Roman" w:hAnsi="Times New Roman" w:eastAsia="黑体" w:cs="Times New Roman"/>
                <w:snapToGrid w:val="0"/>
                <w:color w:val="auto"/>
                <w:spacing w:val="-6"/>
                <w:kern w:val="21"/>
                <w:szCs w:val="21"/>
              </w:rPr>
              <w:fldChar w:fldCharType="end"/>
            </w:r>
          </w:p>
        </w:tc>
        <w:tc>
          <w:tcPr>
            <w:tcW w:w="1761"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以新带老削减量</w:t>
            </w:r>
          </w:p>
          <w:p>
            <w:pPr>
              <w:pStyle w:val="4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（新建项目不填）</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5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kern w:val="2"/>
                <w:szCs w:val="21"/>
              </w:rPr>
              <w:t>⑤</w:t>
            </w:r>
            <w:r>
              <w:rPr>
                <w:rFonts w:hint="default" w:ascii="Times New Roman" w:hAnsi="Times New Roman" w:eastAsia="黑体" w:cs="Times New Roman"/>
                <w:snapToGrid w:val="0"/>
                <w:color w:val="auto"/>
                <w:spacing w:val="-16"/>
                <w:kern w:val="21"/>
                <w:szCs w:val="21"/>
              </w:rPr>
              <w:fldChar w:fldCharType="end"/>
            </w:r>
          </w:p>
        </w:tc>
        <w:tc>
          <w:tcPr>
            <w:tcW w:w="1753"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本项目建成后</w:t>
            </w:r>
          </w:p>
          <w:p>
            <w:pPr>
              <w:pStyle w:val="4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全厂排放量（固体废物产生量）</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6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kern w:val="2"/>
                <w:szCs w:val="21"/>
              </w:rPr>
              <w:t>⑥</w:t>
            </w:r>
            <w:r>
              <w:rPr>
                <w:rFonts w:hint="default" w:ascii="Times New Roman" w:hAnsi="Times New Roman" w:eastAsia="黑体" w:cs="Times New Roman"/>
                <w:snapToGrid w:val="0"/>
                <w:color w:val="auto"/>
                <w:spacing w:val="-16"/>
                <w:kern w:val="21"/>
                <w:szCs w:val="21"/>
              </w:rPr>
              <w:fldChar w:fldCharType="end"/>
            </w:r>
          </w:p>
        </w:tc>
        <w:tc>
          <w:tcPr>
            <w:tcW w:w="1032" w:type="dxa"/>
            <w:noWrap w:val="0"/>
            <w:tcMar>
              <w:left w:w="28" w:type="dxa"/>
              <w:right w:w="28" w:type="dxa"/>
            </w:tcMar>
            <w:vAlign w:val="center"/>
          </w:tcPr>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变化量</w:t>
            </w:r>
          </w:p>
          <w:p>
            <w:pPr>
              <w:pStyle w:val="4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7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⑦</w:t>
            </w:r>
            <w:r>
              <w:rPr>
                <w:rFonts w:hint="default" w:ascii="Times New Roman" w:hAnsi="Times New Roman" w:eastAsia="黑体" w:cs="Times New Roman"/>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588" w:type="dxa"/>
            <w:vMerge w:val="restart"/>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废气</w:t>
            </w: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FF0000"/>
                <w:kern w:val="21"/>
                <w:sz w:val="24"/>
                <w:szCs w:val="24"/>
                <w:lang w:val="en-US" w:eastAsia="zh-CN" w:bidi="ar-SA"/>
              </w:rPr>
            </w:pPr>
            <w:r>
              <w:rPr>
                <w:rFonts w:hint="eastAsia" w:ascii="Times New Roman" w:hAnsi="Times New Roman" w:cs="Times New Roman"/>
                <w:snapToGrid w:val="0"/>
                <w:color w:val="FF0000"/>
                <w:kern w:val="21"/>
                <w:sz w:val="24"/>
                <w:szCs w:val="24"/>
                <w:lang w:val="en-US" w:eastAsia="zh-CN" w:bidi="ar-SA"/>
              </w:rPr>
              <w:t>NH</w:t>
            </w:r>
            <w:r>
              <w:rPr>
                <w:rFonts w:hint="eastAsia" w:ascii="Times New Roman" w:hAnsi="Times New Roman" w:cs="Times New Roman"/>
                <w:snapToGrid w:val="0"/>
                <w:color w:val="FF0000"/>
                <w:kern w:val="21"/>
                <w:sz w:val="24"/>
                <w:szCs w:val="24"/>
                <w:vertAlign w:val="subscript"/>
                <w:lang w:val="en-US" w:eastAsia="zh-CN" w:bidi="ar-SA"/>
              </w:rPr>
              <w:t>3</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FF0000"/>
                <w:kern w:val="21"/>
                <w:szCs w:val="21"/>
                <w:lang w:val="en-US" w:eastAsia="zh-CN"/>
              </w:rPr>
            </w:pPr>
            <w:r>
              <w:rPr>
                <w:rFonts w:hint="eastAsia" w:ascii="Times New Roman" w:cs="Times New Roman"/>
                <w:snapToGrid w:val="0"/>
                <w:color w:val="FF0000"/>
                <w:kern w:val="21"/>
                <w:szCs w:val="21"/>
                <w:lang w:val="en-US" w:eastAsia="zh-CN"/>
              </w:rPr>
              <w:t>0.00806t/a</w:t>
            </w:r>
          </w:p>
        </w:tc>
        <w:tc>
          <w:tcPr>
            <w:tcW w:w="176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0.00806t/a</w:t>
            </w:r>
          </w:p>
        </w:tc>
        <w:tc>
          <w:tcPr>
            <w:tcW w:w="1032"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+0.00806t/a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FF0000"/>
                <w:kern w:val="21"/>
                <w:sz w:val="24"/>
                <w:szCs w:val="24"/>
                <w:lang w:val="en-US" w:eastAsia="zh-CN" w:bidi="ar-SA"/>
              </w:rPr>
            </w:pPr>
            <w:r>
              <w:rPr>
                <w:rFonts w:hint="eastAsia" w:ascii="Times New Roman" w:hAnsi="Times New Roman" w:cs="Times New Roman"/>
                <w:snapToGrid w:val="0"/>
                <w:color w:val="FF0000"/>
                <w:kern w:val="21"/>
                <w:sz w:val="24"/>
                <w:szCs w:val="24"/>
                <w:lang w:val="en-US" w:eastAsia="zh-CN" w:bidi="ar-SA"/>
              </w:rPr>
              <w:t>H</w:t>
            </w:r>
            <w:r>
              <w:rPr>
                <w:rFonts w:hint="eastAsia" w:ascii="Times New Roman" w:hAnsi="Times New Roman" w:cs="Times New Roman"/>
                <w:snapToGrid w:val="0"/>
                <w:color w:val="FF0000"/>
                <w:kern w:val="21"/>
                <w:sz w:val="24"/>
                <w:szCs w:val="24"/>
                <w:vertAlign w:val="subscript"/>
                <w:lang w:val="en-US" w:eastAsia="zh-CN" w:bidi="ar-SA"/>
              </w:rPr>
              <w:t>2</w:t>
            </w:r>
            <w:r>
              <w:rPr>
                <w:rFonts w:hint="eastAsia" w:ascii="Times New Roman" w:hAnsi="Times New Roman" w:cs="Times New Roman"/>
                <w:snapToGrid w:val="0"/>
                <w:color w:val="FF0000"/>
                <w:kern w:val="21"/>
                <w:sz w:val="24"/>
                <w:szCs w:val="24"/>
                <w:lang w:val="en-US" w:eastAsia="zh-CN" w:bidi="ar-SA"/>
              </w:rPr>
              <w:t>S</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FF0000"/>
                <w:kern w:val="21"/>
                <w:szCs w:val="21"/>
                <w:lang w:val="en-US" w:eastAsia="zh-CN"/>
              </w:rPr>
            </w:pPr>
            <w:r>
              <w:rPr>
                <w:rFonts w:hint="eastAsia" w:ascii="Times New Roman" w:cs="Times New Roman"/>
                <w:snapToGrid w:val="0"/>
                <w:color w:val="FF0000"/>
                <w:kern w:val="21"/>
                <w:szCs w:val="21"/>
                <w:lang w:val="en-US" w:eastAsia="zh-CN"/>
              </w:rPr>
              <w:t>0.000312t/a</w:t>
            </w:r>
          </w:p>
        </w:tc>
        <w:tc>
          <w:tcPr>
            <w:tcW w:w="1761" w:type="dxa"/>
            <w:noWrap w:val="0"/>
            <w:vAlign w:val="center"/>
          </w:tcPr>
          <w:p>
            <w:pPr>
              <w:pStyle w:val="48"/>
              <w:spacing w:beforeLines="0" w:afterLines="0" w:line="240" w:lineRule="auto"/>
              <w:ind w:left="200" w:leftChars="0" w:hanging="200" w:firstLineChars="0"/>
              <w:rPr>
                <w:rFonts w:hint="eastAsia" w:ascii="Times New Roman" w:hAnsi="Times New Roman"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0.000312t/a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+0.000312t/a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废水</w:t>
            </w: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 w:val="24"/>
                <w:szCs w:val="21"/>
                <w:lang w:val="en-US" w:eastAsia="zh-CN" w:bidi="ar-SA"/>
              </w:rPr>
              <w:t>COD</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1.2t/a</w:t>
            </w:r>
          </w:p>
        </w:tc>
        <w:tc>
          <w:tcPr>
            <w:tcW w:w="1761"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1.2t/a</w:t>
            </w:r>
          </w:p>
        </w:tc>
        <w:tc>
          <w:tcPr>
            <w:tcW w:w="1032"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+1.2t/a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 w:val="24"/>
                <w:szCs w:val="21"/>
                <w:lang w:val="en-US" w:eastAsia="zh-CN" w:bidi="ar-SA"/>
              </w:rPr>
              <w:t>BOD</w:t>
            </w:r>
            <w:r>
              <w:rPr>
                <w:rFonts w:hint="eastAsia" w:ascii="Times New Roman" w:cs="Times New Roman"/>
                <w:snapToGrid w:val="0"/>
                <w:color w:val="auto"/>
                <w:kern w:val="21"/>
                <w:sz w:val="24"/>
                <w:szCs w:val="21"/>
                <w:vertAlign w:val="subscript"/>
                <w:lang w:val="en-US" w:eastAsia="zh-CN" w:bidi="ar-SA"/>
              </w:rPr>
              <w:t>5</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0.39t/a</w:t>
            </w:r>
          </w:p>
        </w:tc>
        <w:tc>
          <w:tcPr>
            <w:tcW w:w="1761"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0.39t/a</w:t>
            </w:r>
          </w:p>
        </w:tc>
        <w:tc>
          <w:tcPr>
            <w:tcW w:w="1032"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+0.39t/a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 w:val="24"/>
                <w:szCs w:val="21"/>
                <w:lang w:val="en-US" w:eastAsia="zh-CN" w:bidi="ar-SA"/>
              </w:rPr>
              <w:t>SS</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0.47t/a</w:t>
            </w:r>
          </w:p>
        </w:tc>
        <w:tc>
          <w:tcPr>
            <w:tcW w:w="1761"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0.47t/a</w:t>
            </w:r>
          </w:p>
        </w:tc>
        <w:tc>
          <w:tcPr>
            <w:tcW w:w="1032"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+0.47t/a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 w:val="24"/>
                <w:szCs w:val="21"/>
                <w:lang w:val="en-US" w:eastAsia="zh-CN" w:bidi="ar-SA"/>
              </w:rPr>
              <w:t>氨氮</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0.2t/a</w:t>
            </w:r>
          </w:p>
        </w:tc>
        <w:tc>
          <w:tcPr>
            <w:tcW w:w="1761"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0.2t/a</w:t>
            </w:r>
          </w:p>
        </w:tc>
        <w:tc>
          <w:tcPr>
            <w:tcW w:w="1032"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 w:val="24"/>
                <w:szCs w:val="21"/>
                <w:lang w:val="en-US" w:eastAsia="zh-CN" w:bidi="ar-SA"/>
              </w:rPr>
              <w:t>总磷</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0.07t/a</w:t>
            </w:r>
          </w:p>
        </w:tc>
        <w:tc>
          <w:tcPr>
            <w:tcW w:w="1761"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0.07t/a</w:t>
            </w:r>
          </w:p>
        </w:tc>
        <w:tc>
          <w:tcPr>
            <w:tcW w:w="1032"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+0.07t/a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 w:val="24"/>
                <w:szCs w:val="21"/>
                <w:lang w:val="en-US" w:eastAsia="zh-CN" w:bidi="ar-SA"/>
              </w:rPr>
            </w:pPr>
            <w:r>
              <w:rPr>
                <w:rFonts w:hint="eastAsia" w:ascii="Times New Roman" w:cs="Times New Roman"/>
                <w:snapToGrid w:val="0"/>
                <w:color w:val="auto"/>
                <w:kern w:val="21"/>
                <w:sz w:val="24"/>
                <w:szCs w:val="21"/>
                <w:lang w:val="en-US" w:eastAsia="zh-CN" w:bidi="ar-SA"/>
              </w:rPr>
              <w:t>总氮</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0.25t/a</w:t>
            </w:r>
          </w:p>
        </w:tc>
        <w:tc>
          <w:tcPr>
            <w:tcW w:w="1761"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0.25t/a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+0.25t/a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 w:val="24"/>
                <w:szCs w:val="21"/>
                <w:lang w:val="en-US" w:eastAsia="zh-CN" w:bidi="ar-SA"/>
              </w:rPr>
            </w:pPr>
            <w:r>
              <w:rPr>
                <w:rFonts w:hint="eastAsia" w:ascii="Times New Roman" w:cs="Times New Roman"/>
                <w:snapToGrid w:val="0"/>
                <w:color w:val="auto"/>
                <w:kern w:val="21"/>
                <w:sz w:val="24"/>
                <w:szCs w:val="21"/>
                <w:lang w:val="en-US" w:eastAsia="zh-CN" w:bidi="ar-SA"/>
              </w:rPr>
              <w:t>动植物油</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0.13t/a</w:t>
            </w:r>
          </w:p>
        </w:tc>
        <w:tc>
          <w:tcPr>
            <w:tcW w:w="1761"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0.13t/a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+0.13t/a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一般</w:t>
            </w:r>
          </w:p>
          <w:p>
            <w:pPr>
              <w:pStyle w:val="48"/>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固体废物</w:t>
            </w:r>
          </w:p>
        </w:tc>
        <w:tc>
          <w:tcPr>
            <w:tcW w:w="1417"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生活垃圾</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73t/a</w:t>
            </w:r>
          </w:p>
        </w:tc>
        <w:tc>
          <w:tcPr>
            <w:tcW w:w="176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rPr>
                <w:rFonts w:hint="eastAsia" w:ascii="Times New Roman" w:hAnsi="Times New Roman" w:eastAsia="宋体"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73t/a</w:t>
            </w:r>
          </w:p>
        </w:tc>
        <w:tc>
          <w:tcPr>
            <w:tcW w:w="1032" w:type="dxa"/>
            <w:noWrap w:val="0"/>
            <w:vAlign w:val="center"/>
          </w:tcPr>
          <w:p>
            <w:pPr>
              <w:pStyle w:val="48"/>
              <w:spacing w:beforeLines="0" w:afterLines="0" w:line="240" w:lineRule="auto"/>
              <w:rPr>
                <w:rFonts w:hint="eastAsia" w:ascii="Times New Roman" w:hAnsi="Times New Roman" w:eastAsia="宋体"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+73t/a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餐厨垃圾</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6.57t/a</w:t>
            </w:r>
          </w:p>
        </w:tc>
        <w:tc>
          <w:tcPr>
            <w:tcW w:w="1761" w:type="dxa"/>
            <w:noWrap w:val="0"/>
            <w:vAlign w:val="center"/>
          </w:tcPr>
          <w:p>
            <w:pPr>
              <w:pStyle w:val="48"/>
              <w:spacing w:beforeLines="0" w:afterLines="0" w:line="240" w:lineRule="auto"/>
              <w:ind w:left="200" w:leftChars="0" w:hanging="200" w:firstLineChars="0"/>
              <w:rPr>
                <w:rFonts w:hint="eastAsia" w:ascii="Times New Roman" w:hAnsi="Times New Roman" w:cs="Times New Roman"/>
                <w:snapToGrid w:val="0"/>
                <w:color w:val="auto"/>
                <w:kern w:val="21"/>
                <w:sz w:val="21"/>
                <w:szCs w:val="21"/>
                <w:lang w:val="en-US" w:eastAsia="zh-CN" w:bidi="ar-SA"/>
              </w:rPr>
            </w:pPr>
          </w:p>
        </w:tc>
        <w:tc>
          <w:tcPr>
            <w:tcW w:w="1753"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6.57t/a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+6.57t/a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隔油池废油脂</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0.12t/a</w:t>
            </w:r>
          </w:p>
        </w:tc>
        <w:tc>
          <w:tcPr>
            <w:tcW w:w="1761" w:type="dxa"/>
            <w:noWrap w:val="0"/>
            <w:vAlign w:val="center"/>
          </w:tcPr>
          <w:p>
            <w:pPr>
              <w:pStyle w:val="48"/>
              <w:spacing w:beforeLines="0" w:afterLines="0" w:line="240" w:lineRule="auto"/>
              <w:ind w:left="200" w:leftChars="0" w:hanging="200" w:firstLineChars="0"/>
              <w:rPr>
                <w:rFonts w:hint="eastAsia" w:ascii="Times New Roman" w:hAnsi="Times New Roman" w:cs="Times New Roman"/>
                <w:snapToGrid w:val="0"/>
                <w:color w:val="auto"/>
                <w:kern w:val="21"/>
                <w:sz w:val="21"/>
                <w:szCs w:val="21"/>
                <w:lang w:val="en-US" w:eastAsia="zh-CN" w:bidi="ar-SA"/>
              </w:rPr>
            </w:pPr>
          </w:p>
        </w:tc>
        <w:tc>
          <w:tcPr>
            <w:tcW w:w="1753"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0.12t/a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+0.12t/a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FF0000"/>
                <w:kern w:val="21"/>
                <w:szCs w:val="21"/>
                <w:lang w:val="en-US" w:eastAsia="zh-CN"/>
              </w:rPr>
            </w:pPr>
            <w:r>
              <w:rPr>
                <w:rFonts w:hint="eastAsia" w:ascii="Times New Roman" w:cs="Times New Roman"/>
                <w:snapToGrid w:val="0"/>
                <w:color w:val="FF0000"/>
                <w:kern w:val="21"/>
                <w:szCs w:val="21"/>
                <w:lang w:val="en-US" w:eastAsia="zh-CN"/>
              </w:rPr>
              <w:t>油烟净化器废油脂</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559"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0.011t/a</w:t>
            </w:r>
          </w:p>
        </w:tc>
        <w:tc>
          <w:tcPr>
            <w:tcW w:w="176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p>
        </w:tc>
        <w:tc>
          <w:tcPr>
            <w:tcW w:w="1753"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0.011t/a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+0.011t/a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FF0000"/>
                <w:kern w:val="21"/>
                <w:szCs w:val="21"/>
                <w:lang w:val="en-US" w:eastAsia="zh-CN"/>
              </w:rPr>
            </w:pPr>
            <w:r>
              <w:rPr>
                <w:rFonts w:hint="eastAsia" w:ascii="Times New Roman" w:cs="Times New Roman"/>
                <w:snapToGrid w:val="0"/>
                <w:color w:val="FF0000"/>
                <w:kern w:val="21"/>
                <w:szCs w:val="21"/>
                <w:lang w:val="en-US" w:eastAsia="zh-CN"/>
              </w:rPr>
              <w:t>油烟净化器清洗废液</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r>
              <w:rPr>
                <w:rFonts w:hint="eastAsia" w:ascii="Times New Roman" w:hAnsi="Times New Roman" w:cs="Times New Roman"/>
                <w:snapToGrid w:val="0"/>
                <w:color w:val="FF0000"/>
                <w:kern w:val="21"/>
                <w:sz w:val="21"/>
                <w:szCs w:val="21"/>
                <w:lang w:val="en-US" w:eastAsia="zh-CN" w:bidi="ar-SA"/>
              </w:rPr>
              <w:t>/</w:t>
            </w:r>
          </w:p>
        </w:tc>
        <w:tc>
          <w:tcPr>
            <w:tcW w:w="1559"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0.06t/a</w:t>
            </w:r>
          </w:p>
        </w:tc>
        <w:tc>
          <w:tcPr>
            <w:tcW w:w="176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1"/>
                <w:szCs w:val="21"/>
                <w:lang w:val="en-US" w:eastAsia="zh-CN" w:bidi="ar-SA"/>
              </w:rPr>
            </w:pPr>
          </w:p>
        </w:tc>
        <w:tc>
          <w:tcPr>
            <w:tcW w:w="1753"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0.06t/a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FF0000"/>
                <w:kern w:val="21"/>
                <w:sz w:val="24"/>
                <w:szCs w:val="21"/>
                <w:lang w:val="en-US" w:eastAsia="zh-CN" w:bidi="ar-SA"/>
              </w:rPr>
            </w:pPr>
            <w:r>
              <w:rPr>
                <w:rFonts w:hint="eastAsia" w:ascii="Times New Roman" w:cs="Times New Roman"/>
                <w:snapToGrid w:val="0"/>
                <w:color w:val="FF0000"/>
                <w:kern w:val="21"/>
                <w:szCs w:val="21"/>
                <w:lang w:val="en-US" w:eastAsia="zh-CN"/>
              </w:rPr>
              <w:t>+0.06t/a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default" w:ascii="Times New Roman" w:hAnsi="Times New Roman" w:cs="Times New Roman"/>
                <w:snapToGrid w:val="0"/>
                <w:color w:val="auto"/>
                <w:kern w:val="21"/>
                <w:szCs w:val="21"/>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医患被服</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2.5t/a</w:t>
            </w:r>
          </w:p>
        </w:tc>
        <w:tc>
          <w:tcPr>
            <w:tcW w:w="1761" w:type="dxa"/>
            <w:noWrap w:val="0"/>
            <w:vAlign w:val="center"/>
          </w:tcPr>
          <w:p>
            <w:pPr>
              <w:pStyle w:val="48"/>
              <w:spacing w:beforeLines="0" w:afterLines="0" w:line="240" w:lineRule="auto"/>
              <w:ind w:left="200" w:leftChars="0" w:hanging="200" w:firstLineChars="0"/>
              <w:rPr>
                <w:rFonts w:hint="eastAsia" w:ascii="Times New Roman" w:hAnsi="Times New Roman" w:cs="Times New Roman"/>
                <w:snapToGrid w:val="0"/>
                <w:color w:val="auto"/>
                <w:kern w:val="21"/>
                <w:sz w:val="21"/>
                <w:szCs w:val="21"/>
                <w:lang w:val="en-US" w:eastAsia="zh-CN" w:bidi="ar-SA"/>
              </w:rPr>
            </w:pPr>
          </w:p>
        </w:tc>
        <w:tc>
          <w:tcPr>
            <w:tcW w:w="1753"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2.5t/a</w:t>
            </w:r>
          </w:p>
        </w:tc>
        <w:tc>
          <w:tcPr>
            <w:tcW w:w="1032"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cs="Times New Roman"/>
                <w:snapToGrid w:val="0"/>
                <w:color w:val="auto"/>
                <w:kern w:val="21"/>
                <w:szCs w:val="21"/>
                <w:lang w:val="en-US" w:eastAsia="zh-CN"/>
              </w:rPr>
              <w:t>+2.5t/a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pPr>
              <w:pStyle w:val="4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危险废物</w:t>
            </w: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医疗废物</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39.325t/a</w:t>
            </w:r>
          </w:p>
        </w:tc>
        <w:tc>
          <w:tcPr>
            <w:tcW w:w="1761" w:type="dxa"/>
            <w:noWrap w:val="0"/>
            <w:vAlign w:val="center"/>
          </w:tcPr>
          <w:p>
            <w:pPr>
              <w:pStyle w:val="48"/>
              <w:spacing w:beforeLines="0" w:afterLines="0" w:line="240" w:lineRule="auto"/>
              <w:rPr>
                <w:rFonts w:hint="eastAsia" w:ascii="Times New Roman" w:hAnsi="Times New Roman" w:eastAsia="宋体" w:cs="Times New Roman"/>
                <w:snapToGrid w:val="0"/>
                <w:color w:val="auto"/>
                <w:kern w:val="21"/>
                <w:szCs w:val="21"/>
                <w:lang w:val="en-US" w:eastAsia="zh-CN"/>
              </w:rPr>
            </w:pPr>
            <w:r>
              <w:rPr>
                <w:rFonts w:hint="eastAsia" w:ascii="Times New Roman" w:hAns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39.325t/a</w:t>
            </w:r>
          </w:p>
        </w:tc>
        <w:tc>
          <w:tcPr>
            <w:tcW w:w="1032"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+39.325t/a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p>
        </w:tc>
        <w:tc>
          <w:tcPr>
            <w:tcW w:w="1417" w:type="dxa"/>
            <w:noWrap w:val="0"/>
            <w:vAlign w:val="center"/>
          </w:tcPr>
          <w:p>
            <w:pPr>
              <w:pStyle w:val="48"/>
              <w:spacing w:beforeLines="0" w:afterLines="0" w:line="240" w:lineRule="auto"/>
              <w:ind w:left="200" w:leftChars="0" w:hanging="200" w:firstLineChars="0"/>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污水处理站污泥</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276"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701" w:type="dxa"/>
            <w:noWrap w:val="0"/>
            <w:vAlign w:val="center"/>
          </w:tcPr>
          <w:p>
            <w:pPr>
              <w:pStyle w:val="48"/>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559" w:type="dxa"/>
            <w:noWrap w:val="0"/>
            <w:vAlign w:val="center"/>
          </w:tcPr>
          <w:p>
            <w:pPr>
              <w:pStyle w:val="48"/>
              <w:spacing w:beforeLines="0" w:afterLines="0" w:line="240" w:lineRule="auto"/>
              <w:rPr>
                <w:rFonts w:hint="default"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155t/a</w:t>
            </w:r>
          </w:p>
        </w:tc>
        <w:tc>
          <w:tcPr>
            <w:tcW w:w="1761" w:type="dxa"/>
            <w:noWrap w:val="0"/>
            <w:vAlign w:val="center"/>
          </w:tcPr>
          <w:p>
            <w:pPr>
              <w:pStyle w:val="48"/>
              <w:spacing w:beforeLines="0" w:afterLines="0" w:line="240" w:lineRule="auto"/>
              <w:rPr>
                <w:rFonts w:hint="eastAsia" w:ascii="Times New Roman" w:hAnsi="Times New Roman"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w:t>
            </w:r>
          </w:p>
        </w:tc>
        <w:tc>
          <w:tcPr>
            <w:tcW w:w="1753"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155t/a</w:t>
            </w:r>
          </w:p>
        </w:tc>
        <w:tc>
          <w:tcPr>
            <w:tcW w:w="1032" w:type="dxa"/>
            <w:noWrap w:val="0"/>
            <w:vAlign w:val="center"/>
          </w:tcPr>
          <w:p>
            <w:pPr>
              <w:pStyle w:val="48"/>
              <w:spacing w:beforeLines="0" w:afterLines="0" w:line="240" w:lineRule="auto"/>
              <w:rPr>
                <w:rFonts w:hint="eastAsia" w:ascii="Times New Roman" w:cs="Times New Roman"/>
                <w:snapToGrid w:val="0"/>
                <w:color w:val="auto"/>
                <w:kern w:val="21"/>
                <w:szCs w:val="21"/>
                <w:lang w:val="en-US" w:eastAsia="zh-CN"/>
              </w:rPr>
            </w:pPr>
            <w:r>
              <w:rPr>
                <w:rFonts w:hint="eastAsia" w:ascii="Times New Roman" w:cs="Times New Roman"/>
                <w:snapToGrid w:val="0"/>
                <w:color w:val="auto"/>
                <w:kern w:val="21"/>
                <w:szCs w:val="21"/>
                <w:lang w:val="en-US" w:eastAsia="zh-CN"/>
              </w:rPr>
              <w:t>+155t/a</w:t>
            </w:r>
          </w:p>
        </w:tc>
      </w:tr>
    </w:tbl>
    <w:p>
      <w:pPr>
        <w:pStyle w:val="48"/>
        <w:spacing w:before="192" w:beforeLines="80" w:after="24"/>
        <w:jc w:val="left"/>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3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③</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4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④</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5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⑤</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7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⑦</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p>
    <w:p>
      <w:pPr>
        <w:rPr>
          <w:rFonts w:hint="default" w:ascii="Times New Roman" w:hAnsi="Times New Roman" w:cs="Times New Roman"/>
          <w:color w:val="auto"/>
        </w:rPr>
      </w:pPr>
    </w:p>
    <w:p>
      <w:pPr>
        <w:rPr>
          <w:rFonts w:hint="default" w:ascii="Times New Roman" w:hAnsi="Times New Roman" w:cs="Times New Roman"/>
          <w:color w:val="auto"/>
        </w:rPr>
        <w:sectPr>
          <w:footerReference r:id="rId7" w:type="default"/>
          <w:pgSz w:w="16838" w:h="11906" w:orient="landscape"/>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rPr>
          <w:rFonts w:hint="default" w:ascii="Times New Roman" w:hAnsi="Times New Roman" w:eastAsia="黑体" w:cs="Times New Roman"/>
          <w:color w:val="auto"/>
        </w:rPr>
      </w:pPr>
    </w:p>
    <w:sectPr>
      <w:footerReference r:id="rId8"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auto"/>
    <w:pitch w:val="default"/>
    <w:sig w:usb0="00000000" w:usb1="00000000" w:usb2="00000000" w:usb3="00000000" w:csb0="8000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30"/>
      </w:rPr>
    </w:pPr>
    <w:r>
      <w:fldChar w:fldCharType="begin"/>
    </w:r>
    <w:r>
      <w:rPr>
        <w:rStyle w:val="30"/>
      </w:rPr>
      <w:instrText xml:space="preserve">PAGE  </w:instrText>
    </w:r>
    <w:r>
      <w:fldChar w:fldCharType="end"/>
    </w:r>
  </w:p>
  <w:p>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10</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5"/>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10</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11</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5"/>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11</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yNDljMmY4MzIyZGJhOTdkZWZkNGEyZTYyNzc5Y2IifQ=="/>
  </w:docVars>
  <w:rsids>
    <w:rsidRoot w:val="00A1494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1F1F"/>
    <w:rsid w:val="00B53B5D"/>
    <w:rsid w:val="00B6055E"/>
    <w:rsid w:val="00B6317D"/>
    <w:rsid w:val="00B7723F"/>
    <w:rsid w:val="00B80534"/>
    <w:rsid w:val="00B8433C"/>
    <w:rsid w:val="00B87491"/>
    <w:rsid w:val="00BA29E9"/>
    <w:rsid w:val="00BA7142"/>
    <w:rsid w:val="00BB237C"/>
    <w:rsid w:val="00BB41A3"/>
    <w:rsid w:val="00BC32DC"/>
    <w:rsid w:val="00BC35B6"/>
    <w:rsid w:val="00BC57CD"/>
    <w:rsid w:val="00BD1B51"/>
    <w:rsid w:val="00BD4596"/>
    <w:rsid w:val="00BD7CCE"/>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121E"/>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90F7E"/>
    <w:rsid w:val="01390876"/>
    <w:rsid w:val="015D1E09"/>
    <w:rsid w:val="020F283C"/>
    <w:rsid w:val="0222147D"/>
    <w:rsid w:val="024961D7"/>
    <w:rsid w:val="02697903"/>
    <w:rsid w:val="02F96569"/>
    <w:rsid w:val="035369F0"/>
    <w:rsid w:val="03B60EA3"/>
    <w:rsid w:val="03EA7B21"/>
    <w:rsid w:val="03FC0407"/>
    <w:rsid w:val="04FC5F2F"/>
    <w:rsid w:val="051A5172"/>
    <w:rsid w:val="05CE141F"/>
    <w:rsid w:val="05EF278D"/>
    <w:rsid w:val="05F83EAE"/>
    <w:rsid w:val="06123942"/>
    <w:rsid w:val="063E7D85"/>
    <w:rsid w:val="06A87050"/>
    <w:rsid w:val="072875E6"/>
    <w:rsid w:val="07293586"/>
    <w:rsid w:val="07295285"/>
    <w:rsid w:val="07545980"/>
    <w:rsid w:val="07636392"/>
    <w:rsid w:val="07770C56"/>
    <w:rsid w:val="078533F8"/>
    <w:rsid w:val="07C540F0"/>
    <w:rsid w:val="07CB4C0F"/>
    <w:rsid w:val="07D02854"/>
    <w:rsid w:val="07F1395D"/>
    <w:rsid w:val="089E38B6"/>
    <w:rsid w:val="092217DD"/>
    <w:rsid w:val="09262EEB"/>
    <w:rsid w:val="093A7294"/>
    <w:rsid w:val="098453C7"/>
    <w:rsid w:val="098A171A"/>
    <w:rsid w:val="09B92620"/>
    <w:rsid w:val="09BC423A"/>
    <w:rsid w:val="0A19059B"/>
    <w:rsid w:val="0A263993"/>
    <w:rsid w:val="0A2D3AC2"/>
    <w:rsid w:val="0A773058"/>
    <w:rsid w:val="0AA755DF"/>
    <w:rsid w:val="0AE671C7"/>
    <w:rsid w:val="0B120D44"/>
    <w:rsid w:val="0BA448B4"/>
    <w:rsid w:val="0BCB2100"/>
    <w:rsid w:val="0BD27BF6"/>
    <w:rsid w:val="0BED3F16"/>
    <w:rsid w:val="0C0F509A"/>
    <w:rsid w:val="0C3B3C7D"/>
    <w:rsid w:val="0CAA002A"/>
    <w:rsid w:val="0CAB2EAE"/>
    <w:rsid w:val="0CE06290"/>
    <w:rsid w:val="0D274434"/>
    <w:rsid w:val="0D621C7D"/>
    <w:rsid w:val="0D8B2CBA"/>
    <w:rsid w:val="0DEC68BE"/>
    <w:rsid w:val="0E145752"/>
    <w:rsid w:val="0E73034D"/>
    <w:rsid w:val="0E7E6A9A"/>
    <w:rsid w:val="0EA27E4F"/>
    <w:rsid w:val="0F13775A"/>
    <w:rsid w:val="0F5E2979"/>
    <w:rsid w:val="0F5F45FE"/>
    <w:rsid w:val="0F7B239B"/>
    <w:rsid w:val="0F9A112B"/>
    <w:rsid w:val="0F9E4F82"/>
    <w:rsid w:val="0FB32C44"/>
    <w:rsid w:val="0FCE4134"/>
    <w:rsid w:val="0FD32D40"/>
    <w:rsid w:val="102A1141"/>
    <w:rsid w:val="106D2F64"/>
    <w:rsid w:val="10B63710"/>
    <w:rsid w:val="10F10820"/>
    <w:rsid w:val="111C2F7A"/>
    <w:rsid w:val="11665CA1"/>
    <w:rsid w:val="11864441"/>
    <w:rsid w:val="11DA58D8"/>
    <w:rsid w:val="11F306F3"/>
    <w:rsid w:val="11FD0435"/>
    <w:rsid w:val="12115FD1"/>
    <w:rsid w:val="12230A11"/>
    <w:rsid w:val="133D2A30"/>
    <w:rsid w:val="13532809"/>
    <w:rsid w:val="13951726"/>
    <w:rsid w:val="13C74FF0"/>
    <w:rsid w:val="13D02BE1"/>
    <w:rsid w:val="13EA4E2A"/>
    <w:rsid w:val="14396509"/>
    <w:rsid w:val="144C2C07"/>
    <w:rsid w:val="14DD2C3C"/>
    <w:rsid w:val="158622AB"/>
    <w:rsid w:val="158D5025"/>
    <w:rsid w:val="16087E1D"/>
    <w:rsid w:val="16CF7AC5"/>
    <w:rsid w:val="173379A6"/>
    <w:rsid w:val="173F36A7"/>
    <w:rsid w:val="17701D14"/>
    <w:rsid w:val="17735226"/>
    <w:rsid w:val="18592F05"/>
    <w:rsid w:val="187F1714"/>
    <w:rsid w:val="189F624C"/>
    <w:rsid w:val="18B46D98"/>
    <w:rsid w:val="19715A23"/>
    <w:rsid w:val="19F90DEB"/>
    <w:rsid w:val="1A1C66C0"/>
    <w:rsid w:val="1A3221D5"/>
    <w:rsid w:val="1A42393B"/>
    <w:rsid w:val="1A6D33A5"/>
    <w:rsid w:val="1A713629"/>
    <w:rsid w:val="1A9178D6"/>
    <w:rsid w:val="1AAD45DE"/>
    <w:rsid w:val="1ACB1AB6"/>
    <w:rsid w:val="1AF06D3B"/>
    <w:rsid w:val="1B046F80"/>
    <w:rsid w:val="1B0E1405"/>
    <w:rsid w:val="1B3267B5"/>
    <w:rsid w:val="1B40161D"/>
    <w:rsid w:val="1B441859"/>
    <w:rsid w:val="1B6606B1"/>
    <w:rsid w:val="1BB137D1"/>
    <w:rsid w:val="1BD466ED"/>
    <w:rsid w:val="1BEF3A8F"/>
    <w:rsid w:val="1C5E7925"/>
    <w:rsid w:val="1C753892"/>
    <w:rsid w:val="1CFD070F"/>
    <w:rsid w:val="1D5F6196"/>
    <w:rsid w:val="1D6132A5"/>
    <w:rsid w:val="1D6713CD"/>
    <w:rsid w:val="1D8E56D5"/>
    <w:rsid w:val="1D9D15C8"/>
    <w:rsid w:val="1DF55A55"/>
    <w:rsid w:val="1DFB1F7F"/>
    <w:rsid w:val="1E1C3FA1"/>
    <w:rsid w:val="1E296EDA"/>
    <w:rsid w:val="1E7A43DA"/>
    <w:rsid w:val="1EB77A11"/>
    <w:rsid w:val="1ED925FF"/>
    <w:rsid w:val="1F255EC1"/>
    <w:rsid w:val="1FE7539E"/>
    <w:rsid w:val="20671BE0"/>
    <w:rsid w:val="20963CB8"/>
    <w:rsid w:val="20A81A1B"/>
    <w:rsid w:val="20B07FB6"/>
    <w:rsid w:val="20B1184C"/>
    <w:rsid w:val="20B646FB"/>
    <w:rsid w:val="213B74B1"/>
    <w:rsid w:val="215A2310"/>
    <w:rsid w:val="21B2444E"/>
    <w:rsid w:val="21DE318A"/>
    <w:rsid w:val="21EF5B80"/>
    <w:rsid w:val="22071D3D"/>
    <w:rsid w:val="22576990"/>
    <w:rsid w:val="22F47480"/>
    <w:rsid w:val="23113601"/>
    <w:rsid w:val="232F2DAA"/>
    <w:rsid w:val="235D1E32"/>
    <w:rsid w:val="23DE1C48"/>
    <w:rsid w:val="240210CD"/>
    <w:rsid w:val="245C4763"/>
    <w:rsid w:val="24BF09F7"/>
    <w:rsid w:val="24CB5F7C"/>
    <w:rsid w:val="25004CD3"/>
    <w:rsid w:val="250B4D58"/>
    <w:rsid w:val="252D53FE"/>
    <w:rsid w:val="25E847EB"/>
    <w:rsid w:val="25EC2D81"/>
    <w:rsid w:val="25F20195"/>
    <w:rsid w:val="26136063"/>
    <w:rsid w:val="263D6978"/>
    <w:rsid w:val="268551A3"/>
    <w:rsid w:val="26D41405"/>
    <w:rsid w:val="277057A2"/>
    <w:rsid w:val="27BA105C"/>
    <w:rsid w:val="27DF2B40"/>
    <w:rsid w:val="27F81A60"/>
    <w:rsid w:val="28005024"/>
    <w:rsid w:val="29206EB8"/>
    <w:rsid w:val="29273D5D"/>
    <w:rsid w:val="29595666"/>
    <w:rsid w:val="296F7AA4"/>
    <w:rsid w:val="29874881"/>
    <w:rsid w:val="29E325E0"/>
    <w:rsid w:val="2A452503"/>
    <w:rsid w:val="2AC724D8"/>
    <w:rsid w:val="2B595BD1"/>
    <w:rsid w:val="2BA936A8"/>
    <w:rsid w:val="2C257442"/>
    <w:rsid w:val="2C315A5A"/>
    <w:rsid w:val="2C4B1C25"/>
    <w:rsid w:val="2C962EA9"/>
    <w:rsid w:val="2CAB16AF"/>
    <w:rsid w:val="2D6666FD"/>
    <w:rsid w:val="2D9E56F5"/>
    <w:rsid w:val="2E25431B"/>
    <w:rsid w:val="2E421E60"/>
    <w:rsid w:val="2E5D2DB4"/>
    <w:rsid w:val="2E667F96"/>
    <w:rsid w:val="2E6C5A9E"/>
    <w:rsid w:val="2E8226AB"/>
    <w:rsid w:val="2EE36ACF"/>
    <w:rsid w:val="2FD065E6"/>
    <w:rsid w:val="2FD96870"/>
    <w:rsid w:val="2FE821B1"/>
    <w:rsid w:val="2FF50272"/>
    <w:rsid w:val="303E6C42"/>
    <w:rsid w:val="30580BC9"/>
    <w:rsid w:val="311E2ED7"/>
    <w:rsid w:val="315619EE"/>
    <w:rsid w:val="315C449C"/>
    <w:rsid w:val="31A15297"/>
    <w:rsid w:val="31B82709"/>
    <w:rsid w:val="31D05482"/>
    <w:rsid w:val="32103966"/>
    <w:rsid w:val="32174BBE"/>
    <w:rsid w:val="32400B34"/>
    <w:rsid w:val="32896688"/>
    <w:rsid w:val="329E6876"/>
    <w:rsid w:val="32A9124D"/>
    <w:rsid w:val="333015F2"/>
    <w:rsid w:val="334B6320"/>
    <w:rsid w:val="3384499D"/>
    <w:rsid w:val="33D934D4"/>
    <w:rsid w:val="33FE2F6A"/>
    <w:rsid w:val="340E07E5"/>
    <w:rsid w:val="34145943"/>
    <w:rsid w:val="34235BF7"/>
    <w:rsid w:val="347A2316"/>
    <w:rsid w:val="348C5E1D"/>
    <w:rsid w:val="34A46EAE"/>
    <w:rsid w:val="35237576"/>
    <w:rsid w:val="355A7CF0"/>
    <w:rsid w:val="358C5FA8"/>
    <w:rsid w:val="35A74DDD"/>
    <w:rsid w:val="35C15DF1"/>
    <w:rsid w:val="35C714F1"/>
    <w:rsid w:val="35D34B35"/>
    <w:rsid w:val="36074A7F"/>
    <w:rsid w:val="362253DC"/>
    <w:rsid w:val="368F7673"/>
    <w:rsid w:val="36923549"/>
    <w:rsid w:val="36B75FBF"/>
    <w:rsid w:val="36BD0C45"/>
    <w:rsid w:val="36D611BF"/>
    <w:rsid w:val="37E00298"/>
    <w:rsid w:val="381401D3"/>
    <w:rsid w:val="384320C8"/>
    <w:rsid w:val="38A05307"/>
    <w:rsid w:val="38A15122"/>
    <w:rsid w:val="38B302F9"/>
    <w:rsid w:val="38D60365"/>
    <w:rsid w:val="38E1777D"/>
    <w:rsid w:val="38F12CD3"/>
    <w:rsid w:val="38F94775"/>
    <w:rsid w:val="39243006"/>
    <w:rsid w:val="392971ED"/>
    <w:rsid w:val="39325651"/>
    <w:rsid w:val="39A979FC"/>
    <w:rsid w:val="3A6C7020"/>
    <w:rsid w:val="3A872856"/>
    <w:rsid w:val="3AB242A6"/>
    <w:rsid w:val="3ABE1FE4"/>
    <w:rsid w:val="3B245CD2"/>
    <w:rsid w:val="3B3763D1"/>
    <w:rsid w:val="3B7450C2"/>
    <w:rsid w:val="3BD32973"/>
    <w:rsid w:val="3C2F6E1E"/>
    <w:rsid w:val="3C4F64BA"/>
    <w:rsid w:val="3CDA245A"/>
    <w:rsid w:val="3CDF6AB2"/>
    <w:rsid w:val="3CF45A01"/>
    <w:rsid w:val="3D1E06B7"/>
    <w:rsid w:val="3E095FC4"/>
    <w:rsid w:val="3E7D6F94"/>
    <w:rsid w:val="3EDA0523"/>
    <w:rsid w:val="3F16767C"/>
    <w:rsid w:val="3F547C13"/>
    <w:rsid w:val="3FC74547"/>
    <w:rsid w:val="405724C8"/>
    <w:rsid w:val="407A6407"/>
    <w:rsid w:val="40EB0FF5"/>
    <w:rsid w:val="411A4DD9"/>
    <w:rsid w:val="4169258E"/>
    <w:rsid w:val="41DD0066"/>
    <w:rsid w:val="4200449D"/>
    <w:rsid w:val="4214336C"/>
    <w:rsid w:val="423A3BCC"/>
    <w:rsid w:val="424E57D2"/>
    <w:rsid w:val="42897FE0"/>
    <w:rsid w:val="42B26C49"/>
    <w:rsid w:val="42CB675B"/>
    <w:rsid w:val="42CC2D45"/>
    <w:rsid w:val="433A6FE6"/>
    <w:rsid w:val="43454BBC"/>
    <w:rsid w:val="43480868"/>
    <w:rsid w:val="4350713C"/>
    <w:rsid w:val="435D2D7F"/>
    <w:rsid w:val="436653E0"/>
    <w:rsid w:val="436B6603"/>
    <w:rsid w:val="43A80159"/>
    <w:rsid w:val="43C4431A"/>
    <w:rsid w:val="43C842C4"/>
    <w:rsid w:val="443D2DF0"/>
    <w:rsid w:val="44B951CC"/>
    <w:rsid w:val="44CD14E0"/>
    <w:rsid w:val="44F20B0B"/>
    <w:rsid w:val="44F72403"/>
    <w:rsid w:val="451602EB"/>
    <w:rsid w:val="452E5F4C"/>
    <w:rsid w:val="45612018"/>
    <w:rsid w:val="458946E9"/>
    <w:rsid w:val="45A47C0E"/>
    <w:rsid w:val="45DD6415"/>
    <w:rsid w:val="463D4C70"/>
    <w:rsid w:val="4641273A"/>
    <w:rsid w:val="46577FD6"/>
    <w:rsid w:val="46767D30"/>
    <w:rsid w:val="46D955A7"/>
    <w:rsid w:val="46D96058"/>
    <w:rsid w:val="47105C39"/>
    <w:rsid w:val="47133957"/>
    <w:rsid w:val="475861A5"/>
    <w:rsid w:val="47955AC9"/>
    <w:rsid w:val="479F1F97"/>
    <w:rsid w:val="47A07E0C"/>
    <w:rsid w:val="480161E4"/>
    <w:rsid w:val="4870272E"/>
    <w:rsid w:val="488D6CE6"/>
    <w:rsid w:val="48D261AE"/>
    <w:rsid w:val="48D52FDF"/>
    <w:rsid w:val="49BF1575"/>
    <w:rsid w:val="49DC7715"/>
    <w:rsid w:val="4A023139"/>
    <w:rsid w:val="4A5A463A"/>
    <w:rsid w:val="4A66640C"/>
    <w:rsid w:val="4A7B576F"/>
    <w:rsid w:val="4AF561A9"/>
    <w:rsid w:val="4B4D1546"/>
    <w:rsid w:val="4B8D2765"/>
    <w:rsid w:val="4C4A0649"/>
    <w:rsid w:val="4C4F438E"/>
    <w:rsid w:val="4C51091F"/>
    <w:rsid w:val="4C7E5ECA"/>
    <w:rsid w:val="4C876AA5"/>
    <w:rsid w:val="4CB54229"/>
    <w:rsid w:val="4D0E00FB"/>
    <w:rsid w:val="4D176606"/>
    <w:rsid w:val="4D9C1562"/>
    <w:rsid w:val="4DA8707A"/>
    <w:rsid w:val="4DEC4FB0"/>
    <w:rsid w:val="4E0749A2"/>
    <w:rsid w:val="4E075D8A"/>
    <w:rsid w:val="4EB61EB7"/>
    <w:rsid w:val="4EC00FAD"/>
    <w:rsid w:val="4F6B0615"/>
    <w:rsid w:val="4F9175DC"/>
    <w:rsid w:val="4F9843DC"/>
    <w:rsid w:val="4FA3663E"/>
    <w:rsid w:val="4FC62A8C"/>
    <w:rsid w:val="4FE20F0D"/>
    <w:rsid w:val="4FE51552"/>
    <w:rsid w:val="4FF17360"/>
    <w:rsid w:val="4FF55191"/>
    <w:rsid w:val="50131DC8"/>
    <w:rsid w:val="50504C4B"/>
    <w:rsid w:val="50604805"/>
    <w:rsid w:val="509C6E7C"/>
    <w:rsid w:val="50D9707C"/>
    <w:rsid w:val="513E7962"/>
    <w:rsid w:val="5162104E"/>
    <w:rsid w:val="520B4B75"/>
    <w:rsid w:val="524248B8"/>
    <w:rsid w:val="526849E6"/>
    <w:rsid w:val="53972C02"/>
    <w:rsid w:val="53A039CC"/>
    <w:rsid w:val="53A1505A"/>
    <w:rsid w:val="54063E08"/>
    <w:rsid w:val="543437E8"/>
    <w:rsid w:val="545E6836"/>
    <w:rsid w:val="54F73313"/>
    <w:rsid w:val="54F80955"/>
    <w:rsid w:val="550A43D9"/>
    <w:rsid w:val="550E29B4"/>
    <w:rsid w:val="554B7355"/>
    <w:rsid w:val="555170A7"/>
    <w:rsid w:val="55765761"/>
    <w:rsid w:val="5587536D"/>
    <w:rsid w:val="559B174B"/>
    <w:rsid w:val="55C2674C"/>
    <w:rsid w:val="55CE0CF4"/>
    <w:rsid w:val="55F26C46"/>
    <w:rsid w:val="5622233E"/>
    <w:rsid w:val="565D2EF7"/>
    <w:rsid w:val="566D61EA"/>
    <w:rsid w:val="56B22A9C"/>
    <w:rsid w:val="56D10D1E"/>
    <w:rsid w:val="5717710B"/>
    <w:rsid w:val="578448D2"/>
    <w:rsid w:val="57B72A76"/>
    <w:rsid w:val="57BD0EE0"/>
    <w:rsid w:val="57C3426C"/>
    <w:rsid w:val="57C43F37"/>
    <w:rsid w:val="57CE1F93"/>
    <w:rsid w:val="58043523"/>
    <w:rsid w:val="583242D7"/>
    <w:rsid w:val="588743D1"/>
    <w:rsid w:val="5887701A"/>
    <w:rsid w:val="58A539D4"/>
    <w:rsid w:val="58EC1A4A"/>
    <w:rsid w:val="5960317B"/>
    <w:rsid w:val="59C0439F"/>
    <w:rsid w:val="5A187098"/>
    <w:rsid w:val="5A4C1409"/>
    <w:rsid w:val="5A6828BF"/>
    <w:rsid w:val="5AB0090F"/>
    <w:rsid w:val="5AB22FD3"/>
    <w:rsid w:val="5ABE2233"/>
    <w:rsid w:val="5ACE746D"/>
    <w:rsid w:val="5AE317EB"/>
    <w:rsid w:val="5B0A088A"/>
    <w:rsid w:val="5B177788"/>
    <w:rsid w:val="5B7F559C"/>
    <w:rsid w:val="5BDF5D95"/>
    <w:rsid w:val="5BFE7528"/>
    <w:rsid w:val="5C2E0DB3"/>
    <w:rsid w:val="5C390DA7"/>
    <w:rsid w:val="5C760F7A"/>
    <w:rsid w:val="5CD509A5"/>
    <w:rsid w:val="5CD65303"/>
    <w:rsid w:val="5CF4045F"/>
    <w:rsid w:val="5DF75943"/>
    <w:rsid w:val="5E2467F1"/>
    <w:rsid w:val="5F144834"/>
    <w:rsid w:val="5F1A2B43"/>
    <w:rsid w:val="5FB837BB"/>
    <w:rsid w:val="5FE77442"/>
    <w:rsid w:val="602E1723"/>
    <w:rsid w:val="606C1AA3"/>
    <w:rsid w:val="60CC405A"/>
    <w:rsid w:val="60FC3468"/>
    <w:rsid w:val="61E215D8"/>
    <w:rsid w:val="6208594E"/>
    <w:rsid w:val="621B3775"/>
    <w:rsid w:val="62240FE5"/>
    <w:rsid w:val="62364782"/>
    <w:rsid w:val="62B06F5E"/>
    <w:rsid w:val="62D34877"/>
    <w:rsid w:val="63405029"/>
    <w:rsid w:val="63450A67"/>
    <w:rsid w:val="63781676"/>
    <w:rsid w:val="6394356A"/>
    <w:rsid w:val="63996AEE"/>
    <w:rsid w:val="63C61B2C"/>
    <w:rsid w:val="63D40BE9"/>
    <w:rsid w:val="64102431"/>
    <w:rsid w:val="64A5243A"/>
    <w:rsid w:val="64B83D51"/>
    <w:rsid w:val="64F531DE"/>
    <w:rsid w:val="65373578"/>
    <w:rsid w:val="653C7B77"/>
    <w:rsid w:val="653E4417"/>
    <w:rsid w:val="654241CF"/>
    <w:rsid w:val="655D7E7A"/>
    <w:rsid w:val="65936454"/>
    <w:rsid w:val="65EC5F7F"/>
    <w:rsid w:val="660643E1"/>
    <w:rsid w:val="671F124A"/>
    <w:rsid w:val="67217BE2"/>
    <w:rsid w:val="675F6C8C"/>
    <w:rsid w:val="677A33C6"/>
    <w:rsid w:val="681E5C4F"/>
    <w:rsid w:val="681F6961"/>
    <w:rsid w:val="682B6BC6"/>
    <w:rsid w:val="683B5453"/>
    <w:rsid w:val="68610A2F"/>
    <w:rsid w:val="68805514"/>
    <w:rsid w:val="6883102C"/>
    <w:rsid w:val="68C724BA"/>
    <w:rsid w:val="68EE3BA3"/>
    <w:rsid w:val="68F715E2"/>
    <w:rsid w:val="69316E2F"/>
    <w:rsid w:val="694E2071"/>
    <w:rsid w:val="694E3AF4"/>
    <w:rsid w:val="69766163"/>
    <w:rsid w:val="6977031C"/>
    <w:rsid w:val="697A3B33"/>
    <w:rsid w:val="69D44760"/>
    <w:rsid w:val="6A402EE0"/>
    <w:rsid w:val="6A520EC7"/>
    <w:rsid w:val="6AF87E20"/>
    <w:rsid w:val="6B322639"/>
    <w:rsid w:val="6B5B6F2F"/>
    <w:rsid w:val="6B8B3651"/>
    <w:rsid w:val="6BB45C4E"/>
    <w:rsid w:val="6BD96BD5"/>
    <w:rsid w:val="6C044ABB"/>
    <w:rsid w:val="6C636C38"/>
    <w:rsid w:val="6D1C071F"/>
    <w:rsid w:val="6D5E2181"/>
    <w:rsid w:val="6D887A53"/>
    <w:rsid w:val="6D910694"/>
    <w:rsid w:val="6DB34098"/>
    <w:rsid w:val="6DB545B6"/>
    <w:rsid w:val="6DE02FB4"/>
    <w:rsid w:val="6E3A3D3C"/>
    <w:rsid w:val="6E514CED"/>
    <w:rsid w:val="6E9A4CF0"/>
    <w:rsid w:val="6EB563D5"/>
    <w:rsid w:val="6EBF7A49"/>
    <w:rsid w:val="6ED92677"/>
    <w:rsid w:val="6F225983"/>
    <w:rsid w:val="6F4C500A"/>
    <w:rsid w:val="6F670088"/>
    <w:rsid w:val="6FFC5590"/>
    <w:rsid w:val="70066FB3"/>
    <w:rsid w:val="704414B9"/>
    <w:rsid w:val="706D1DD0"/>
    <w:rsid w:val="70856B87"/>
    <w:rsid w:val="70D527EE"/>
    <w:rsid w:val="70E03EBE"/>
    <w:rsid w:val="715B5300"/>
    <w:rsid w:val="719567ED"/>
    <w:rsid w:val="71D27F8A"/>
    <w:rsid w:val="72057848"/>
    <w:rsid w:val="7208257F"/>
    <w:rsid w:val="72553024"/>
    <w:rsid w:val="7265637C"/>
    <w:rsid w:val="729C5355"/>
    <w:rsid w:val="72C44AAC"/>
    <w:rsid w:val="72E81C7B"/>
    <w:rsid w:val="73122968"/>
    <w:rsid w:val="731F5D5E"/>
    <w:rsid w:val="73223A1B"/>
    <w:rsid w:val="7334111A"/>
    <w:rsid w:val="73AD7A9B"/>
    <w:rsid w:val="73C51AD5"/>
    <w:rsid w:val="740D250B"/>
    <w:rsid w:val="741E793C"/>
    <w:rsid w:val="745E3944"/>
    <w:rsid w:val="746C1E5A"/>
    <w:rsid w:val="747B582F"/>
    <w:rsid w:val="74DF62FD"/>
    <w:rsid w:val="750B7110"/>
    <w:rsid w:val="751D3E63"/>
    <w:rsid w:val="757D229D"/>
    <w:rsid w:val="75D063DC"/>
    <w:rsid w:val="75EC777B"/>
    <w:rsid w:val="76191858"/>
    <w:rsid w:val="7635099D"/>
    <w:rsid w:val="76483316"/>
    <w:rsid w:val="7678611C"/>
    <w:rsid w:val="76B61F85"/>
    <w:rsid w:val="77762421"/>
    <w:rsid w:val="77B56B1F"/>
    <w:rsid w:val="780F09F4"/>
    <w:rsid w:val="781B5410"/>
    <w:rsid w:val="785D29F2"/>
    <w:rsid w:val="78A90480"/>
    <w:rsid w:val="78C061F3"/>
    <w:rsid w:val="78D00FA7"/>
    <w:rsid w:val="794B0520"/>
    <w:rsid w:val="7A0F72CE"/>
    <w:rsid w:val="7A2D326B"/>
    <w:rsid w:val="7A364017"/>
    <w:rsid w:val="7A7F1A95"/>
    <w:rsid w:val="7A8265E1"/>
    <w:rsid w:val="7AB27434"/>
    <w:rsid w:val="7B686D42"/>
    <w:rsid w:val="7B6C7AC9"/>
    <w:rsid w:val="7B841746"/>
    <w:rsid w:val="7BA06571"/>
    <w:rsid w:val="7BE92FE2"/>
    <w:rsid w:val="7C6C5AC7"/>
    <w:rsid w:val="7C8A1FD7"/>
    <w:rsid w:val="7CC6544B"/>
    <w:rsid w:val="7D0239FF"/>
    <w:rsid w:val="7D1F583C"/>
    <w:rsid w:val="7D575C62"/>
    <w:rsid w:val="7D5E40CD"/>
    <w:rsid w:val="7DCD56F2"/>
    <w:rsid w:val="7E1E19FB"/>
    <w:rsid w:val="7E241EA6"/>
    <w:rsid w:val="7E2E3256"/>
    <w:rsid w:val="7EC05FCF"/>
    <w:rsid w:val="7EE6558E"/>
    <w:rsid w:val="7F001CE7"/>
    <w:rsid w:val="7F086B76"/>
    <w:rsid w:val="7F6A0B8E"/>
    <w:rsid w:val="7F8F5658"/>
    <w:rsid w:val="7FA52E58"/>
    <w:rsid w:val="7FC727FF"/>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nhideWhenUsed="0" w:uiPriority="1" w:semiHidden="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99"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qFormat/>
    <w:locked/>
    <w:uiPriority w:val="0"/>
    <w:pPr>
      <w:ind w:firstLine="0" w:firstLineChars="0"/>
      <w:jc w:val="left"/>
      <w:outlineLvl w:val="1"/>
    </w:pPr>
    <w:rPr>
      <w:rFonts w:hint="eastAsia" w:ascii="宋体" w:hAnsi="宋体"/>
      <w:b/>
      <w:kern w:val="0"/>
      <w:szCs w:val="36"/>
    </w:rPr>
  </w:style>
  <w:style w:type="paragraph" w:styleId="4">
    <w:name w:val="heading 3"/>
    <w:basedOn w:val="1"/>
    <w:next w:val="1"/>
    <w:qFormat/>
    <w:locked/>
    <w:uiPriority w:val="0"/>
    <w:pPr>
      <w:keepNext/>
      <w:keepLines/>
      <w:outlineLvl w:val="2"/>
    </w:pPr>
    <w:rPr>
      <w:b/>
      <w:kern w:val="0"/>
      <w:szCs w:val="20"/>
    </w:rPr>
  </w:style>
  <w:style w:type="paragraph" w:styleId="5">
    <w:name w:val="heading 4"/>
    <w:basedOn w:val="1"/>
    <w:next w:val="1"/>
    <w:qFormat/>
    <w:locked/>
    <w:uiPriority w:val="0"/>
    <w:pPr>
      <w:keepNext/>
      <w:keepLines/>
      <w:adjustRightInd w:val="0"/>
      <w:snapToGrid w:val="0"/>
      <w:spacing w:before="50" w:beforeLines="50" w:after="50" w:afterLines="50" w:line="240" w:lineRule="auto"/>
      <w:ind w:firstLine="1044" w:firstLineChars="200"/>
      <w:jc w:val="left"/>
      <w:outlineLvl w:val="3"/>
    </w:pPr>
    <w:rPr>
      <w:rFonts w:ascii="Times New Roman" w:hAnsi="Times New Roman" w:eastAsia="宋体"/>
      <w:b/>
      <w:bCs/>
      <w:sz w:val="24"/>
      <w:szCs w:val="24"/>
    </w:rPr>
  </w:style>
  <w:style w:type="paragraph" w:styleId="6">
    <w:name w:val="heading 7"/>
    <w:basedOn w:val="1"/>
    <w:next w:val="1"/>
    <w:qFormat/>
    <w:locked/>
    <w:uiPriority w:val="1"/>
    <w:pPr>
      <w:outlineLvl w:val="6"/>
    </w:pPr>
    <w:rPr>
      <w:rFonts w:ascii="宋体" w:hAnsi="宋体" w:eastAsia="宋体" w:cs="宋体"/>
      <w:b/>
      <w:bCs/>
      <w:sz w:val="24"/>
      <w:szCs w:val="24"/>
      <w:lang w:val="zh-CN" w:eastAsia="zh-CN" w:bidi="zh-CN"/>
    </w:rPr>
  </w:style>
  <w:style w:type="character" w:default="1" w:styleId="29">
    <w:name w:val="Default Paragraph Font"/>
    <w:semiHidden/>
    <w:qFormat/>
    <w:uiPriority w:val="0"/>
  </w:style>
  <w:style w:type="table" w:default="1" w:styleId="27">
    <w:name w:val="Normal Table"/>
    <w:semiHidden/>
    <w:qFormat/>
    <w:uiPriority w:val="0"/>
    <w:tblPr>
      <w:tblCellMar>
        <w:top w:w="0" w:type="dxa"/>
        <w:left w:w="108" w:type="dxa"/>
        <w:bottom w:w="0" w:type="dxa"/>
        <w:right w:w="108" w:type="dxa"/>
      </w:tblCellMar>
    </w:tblPr>
  </w:style>
  <w:style w:type="paragraph" w:styleId="7">
    <w:name w:val="Normal Indent"/>
    <w:basedOn w:val="1"/>
    <w:next w:val="1"/>
    <w:qFormat/>
    <w:locked/>
    <w:uiPriority w:val="0"/>
    <w:pPr>
      <w:ind w:firstLine="420"/>
    </w:pPr>
    <w:rPr>
      <w:szCs w:val="20"/>
    </w:rPr>
  </w:style>
  <w:style w:type="paragraph" w:styleId="8">
    <w:name w:val="caption"/>
    <w:basedOn w:val="1"/>
    <w:next w:val="1"/>
    <w:qFormat/>
    <w:locked/>
    <w:uiPriority w:val="0"/>
    <w:pPr>
      <w:ind w:firstLine="0" w:firstLineChars="0"/>
      <w:jc w:val="center"/>
    </w:pPr>
    <w:rPr>
      <w:rFonts w:cs="宋体"/>
      <w:b/>
    </w:rPr>
  </w:style>
  <w:style w:type="paragraph" w:styleId="9">
    <w:name w:val="annotation text"/>
    <w:basedOn w:val="1"/>
    <w:link w:val="34"/>
    <w:semiHidden/>
    <w:qFormat/>
    <w:uiPriority w:val="0"/>
    <w:pPr>
      <w:jc w:val="left"/>
    </w:pPr>
    <w:rPr>
      <w:kern w:val="0"/>
      <w:sz w:val="24"/>
      <w:szCs w:val="20"/>
    </w:rPr>
  </w:style>
  <w:style w:type="paragraph" w:styleId="10">
    <w:name w:val="Body Text"/>
    <w:basedOn w:val="1"/>
    <w:next w:val="1"/>
    <w:link w:val="35"/>
    <w:qFormat/>
    <w:uiPriority w:val="0"/>
    <w:pPr>
      <w:widowControl/>
      <w:snapToGrid w:val="0"/>
      <w:spacing w:before="60" w:after="160" w:line="259" w:lineRule="auto"/>
      <w:ind w:right="113"/>
    </w:pPr>
    <w:rPr>
      <w:kern w:val="0"/>
      <w:sz w:val="18"/>
      <w:szCs w:val="20"/>
    </w:rPr>
  </w:style>
  <w:style w:type="paragraph" w:styleId="11">
    <w:name w:val="Body Text Indent"/>
    <w:basedOn w:val="1"/>
    <w:next w:val="10"/>
    <w:link w:val="36"/>
    <w:qFormat/>
    <w:uiPriority w:val="0"/>
    <w:pPr>
      <w:spacing w:after="120"/>
      <w:ind w:left="420" w:leftChars="200"/>
    </w:pPr>
    <w:rPr>
      <w:kern w:val="0"/>
      <w:sz w:val="24"/>
      <w:szCs w:val="20"/>
    </w:rPr>
  </w:style>
  <w:style w:type="paragraph" w:styleId="12">
    <w:name w:val="Plain Text"/>
    <w:basedOn w:val="1"/>
    <w:qFormat/>
    <w:locked/>
    <w:uiPriority w:val="99"/>
    <w:rPr>
      <w:rFonts w:ascii="宋体" w:hAnsi="Courier New" w:eastAsia="宋体" w:cs="Courier New"/>
      <w:sz w:val="21"/>
      <w:szCs w:val="21"/>
    </w:rPr>
  </w:style>
  <w:style w:type="paragraph" w:styleId="13">
    <w:name w:val="Date"/>
    <w:basedOn w:val="1"/>
    <w:next w:val="1"/>
    <w:link w:val="38"/>
    <w:qFormat/>
    <w:uiPriority w:val="0"/>
    <w:pPr>
      <w:ind w:left="100" w:leftChars="2500"/>
    </w:pPr>
    <w:rPr>
      <w:kern w:val="0"/>
      <w:sz w:val="24"/>
      <w:szCs w:val="20"/>
    </w:rPr>
  </w:style>
  <w:style w:type="paragraph" w:styleId="14">
    <w:name w:val="Balloon Text"/>
    <w:basedOn w:val="1"/>
    <w:link w:val="39"/>
    <w:semiHidden/>
    <w:qFormat/>
    <w:uiPriority w:val="0"/>
    <w:rPr>
      <w:kern w:val="0"/>
      <w:sz w:val="18"/>
      <w:szCs w:val="20"/>
    </w:rPr>
  </w:style>
  <w:style w:type="paragraph" w:styleId="15">
    <w:name w:val="footer"/>
    <w:basedOn w:val="1"/>
    <w:link w:val="33"/>
    <w:qFormat/>
    <w:uiPriority w:val="99"/>
    <w:pPr>
      <w:tabs>
        <w:tab w:val="center" w:pos="4153"/>
        <w:tab w:val="right" w:pos="8306"/>
      </w:tabs>
      <w:snapToGrid w:val="0"/>
      <w:jc w:val="left"/>
    </w:pPr>
    <w:rPr>
      <w:kern w:val="0"/>
      <w:sz w:val="18"/>
      <w:szCs w:val="20"/>
    </w:rPr>
  </w:style>
  <w:style w:type="paragraph" w:styleId="16">
    <w:name w:val="header"/>
    <w:basedOn w:val="1"/>
    <w:next w:val="17"/>
    <w:link w:val="37"/>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7">
    <w:name w:val="样式5"/>
    <w:basedOn w:val="18"/>
    <w:qFormat/>
    <w:uiPriority w:val="0"/>
    <w:pPr>
      <w:spacing w:line="380" w:lineRule="exact"/>
      <w:ind w:firstLine="566" w:firstLineChars="202"/>
    </w:pPr>
    <w:rPr>
      <w:rFonts w:eastAsia="华文行楷"/>
      <w:sz w:val="28"/>
    </w:rPr>
  </w:style>
  <w:style w:type="paragraph" w:customStyle="1" w:styleId="18">
    <w:name w:val="样式3"/>
    <w:basedOn w:val="19"/>
    <w:qFormat/>
    <w:uiPriority w:val="0"/>
    <w:pPr>
      <w:snapToGrid w:val="0"/>
      <w:ind w:firstLine="539"/>
      <w:jc w:val="center"/>
    </w:pPr>
    <w:rPr>
      <w:rFonts w:ascii="黑体" w:hAnsi="宋体" w:eastAsia="黑体"/>
      <w:color w:val="000000"/>
    </w:rPr>
  </w:style>
  <w:style w:type="paragraph" w:styleId="19">
    <w:name w:val="List"/>
    <w:basedOn w:val="1"/>
    <w:qFormat/>
    <w:locked/>
    <w:uiPriority w:val="0"/>
    <w:pPr>
      <w:widowControl/>
      <w:spacing w:line="440" w:lineRule="exact"/>
      <w:ind w:left="200" w:hanging="200"/>
      <w:jc w:val="left"/>
    </w:pPr>
    <w:rPr>
      <w:kern w:val="0"/>
      <w:sz w:val="24"/>
      <w:szCs w:val="20"/>
    </w:rPr>
  </w:style>
  <w:style w:type="paragraph" w:styleId="20">
    <w:name w:val="Body Text Indent 3"/>
    <w:basedOn w:val="1"/>
    <w:qFormat/>
    <w:locked/>
    <w:uiPriority w:val="0"/>
    <w:pPr>
      <w:spacing w:line="500" w:lineRule="exact"/>
      <w:ind w:firstLine="570"/>
    </w:pPr>
    <w:rPr>
      <w:sz w:val="24"/>
    </w:rPr>
  </w:style>
  <w:style w:type="paragraph" w:styleId="21">
    <w:name w:val="table of figures"/>
    <w:basedOn w:val="1"/>
    <w:next w:val="1"/>
    <w:qFormat/>
    <w:locked/>
    <w:uiPriority w:val="0"/>
    <w:pPr>
      <w:ind w:left="200" w:leftChars="200" w:hanging="200" w:hangingChars="200"/>
    </w:pPr>
  </w:style>
  <w:style w:type="paragraph" w:styleId="22">
    <w:name w:val="Normal (Web)"/>
    <w:basedOn w:val="1"/>
    <w:link w:val="40"/>
    <w:qFormat/>
    <w:uiPriority w:val="0"/>
    <w:pPr>
      <w:widowControl/>
      <w:spacing w:before="100" w:beforeAutospacing="1" w:after="100" w:afterAutospacing="1"/>
      <w:jc w:val="left"/>
    </w:pPr>
    <w:rPr>
      <w:rFonts w:ascii="宋体" w:hAnsi="宋体"/>
      <w:kern w:val="0"/>
      <w:sz w:val="24"/>
      <w:szCs w:val="20"/>
    </w:rPr>
  </w:style>
  <w:style w:type="paragraph" w:styleId="23">
    <w:name w:val="Title"/>
    <w:basedOn w:val="1"/>
    <w:next w:val="1"/>
    <w:qFormat/>
    <w:locked/>
    <w:uiPriority w:val="0"/>
    <w:pPr>
      <w:spacing w:line="360" w:lineRule="auto"/>
      <w:jc w:val="left"/>
      <w:outlineLvl w:val="2"/>
    </w:pPr>
    <w:rPr>
      <w:rFonts w:ascii="Cambria" w:hAnsi="Cambria" w:eastAsia="Times New Roman"/>
      <w:b/>
      <w:bCs/>
      <w:sz w:val="28"/>
      <w:szCs w:val="32"/>
    </w:rPr>
  </w:style>
  <w:style w:type="paragraph" w:styleId="24">
    <w:name w:val="annotation subject"/>
    <w:basedOn w:val="9"/>
    <w:next w:val="9"/>
    <w:link w:val="41"/>
    <w:semiHidden/>
    <w:qFormat/>
    <w:uiPriority w:val="0"/>
    <w:rPr>
      <w:b/>
      <w:sz w:val="24"/>
      <w:szCs w:val="20"/>
    </w:rPr>
  </w:style>
  <w:style w:type="paragraph" w:styleId="25">
    <w:name w:val="Body Text First Indent"/>
    <w:basedOn w:val="10"/>
    <w:next w:val="1"/>
    <w:qFormat/>
    <w:locked/>
    <w:uiPriority w:val="0"/>
    <w:pPr>
      <w:spacing w:after="120" w:line="360" w:lineRule="auto"/>
      <w:ind w:firstLine="420" w:firstLineChars="100"/>
    </w:pPr>
    <w:rPr>
      <w:rFonts w:eastAsia="Times New Roman"/>
      <w:szCs w:val="24"/>
    </w:rPr>
  </w:style>
  <w:style w:type="paragraph" w:styleId="26">
    <w:name w:val="Body Text First Indent 2"/>
    <w:basedOn w:val="1"/>
    <w:next w:val="1"/>
    <w:qFormat/>
    <w:locked/>
    <w:uiPriority w:val="0"/>
    <w:pPr>
      <w:spacing w:after="120" w:line="360" w:lineRule="auto"/>
      <w:ind w:left="420" w:leftChars="200" w:firstLine="420" w:firstLineChars="200"/>
    </w:pPr>
    <w:rPr>
      <w:rFonts w:eastAsia="仿宋_GB2312"/>
    </w:rPr>
  </w:style>
  <w:style w:type="table" w:styleId="28">
    <w:name w:val="Table Grid"/>
    <w:basedOn w:val="27"/>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locked/>
    <w:uiPriority w:val="0"/>
  </w:style>
  <w:style w:type="character" w:styleId="31">
    <w:name w:val="Hyperlink"/>
    <w:basedOn w:val="29"/>
    <w:qFormat/>
    <w:locked/>
    <w:uiPriority w:val="0"/>
    <w:rPr>
      <w:color w:val="0000FF"/>
      <w:u w:val="single"/>
    </w:rPr>
  </w:style>
  <w:style w:type="character" w:styleId="32">
    <w:name w:val="annotation reference"/>
    <w:qFormat/>
    <w:uiPriority w:val="0"/>
    <w:rPr>
      <w:sz w:val="21"/>
    </w:rPr>
  </w:style>
  <w:style w:type="character" w:customStyle="1" w:styleId="33">
    <w:name w:val="页脚 Char"/>
    <w:link w:val="15"/>
    <w:qFormat/>
    <w:locked/>
    <w:uiPriority w:val="99"/>
    <w:rPr>
      <w:sz w:val="18"/>
    </w:rPr>
  </w:style>
  <w:style w:type="character" w:customStyle="1" w:styleId="34">
    <w:name w:val="批注文字 Char"/>
    <w:link w:val="9"/>
    <w:qFormat/>
    <w:locked/>
    <w:uiPriority w:val="0"/>
    <w:rPr>
      <w:rFonts w:ascii="Times New Roman" w:hAnsi="Times New Roman" w:eastAsia="宋体"/>
      <w:sz w:val="24"/>
    </w:rPr>
  </w:style>
  <w:style w:type="character" w:customStyle="1" w:styleId="35">
    <w:name w:val="正文文本 Char"/>
    <w:link w:val="10"/>
    <w:qFormat/>
    <w:locked/>
    <w:uiPriority w:val="0"/>
    <w:rPr>
      <w:sz w:val="18"/>
    </w:rPr>
  </w:style>
  <w:style w:type="character" w:customStyle="1" w:styleId="36">
    <w:name w:val="正文文本缩进 Char"/>
    <w:link w:val="11"/>
    <w:semiHidden/>
    <w:qFormat/>
    <w:locked/>
    <w:uiPriority w:val="0"/>
    <w:rPr>
      <w:rFonts w:ascii="Times New Roman" w:hAnsi="Times New Roman" w:eastAsia="宋体"/>
      <w:sz w:val="24"/>
    </w:rPr>
  </w:style>
  <w:style w:type="character" w:customStyle="1" w:styleId="37">
    <w:name w:val="页眉 Char"/>
    <w:link w:val="16"/>
    <w:qFormat/>
    <w:locked/>
    <w:uiPriority w:val="0"/>
    <w:rPr>
      <w:sz w:val="18"/>
    </w:rPr>
  </w:style>
  <w:style w:type="character" w:customStyle="1" w:styleId="38">
    <w:name w:val="日期 Char"/>
    <w:link w:val="13"/>
    <w:qFormat/>
    <w:locked/>
    <w:uiPriority w:val="0"/>
    <w:rPr>
      <w:rFonts w:ascii="Times New Roman" w:hAnsi="Times New Roman" w:eastAsia="宋体"/>
      <w:sz w:val="24"/>
    </w:rPr>
  </w:style>
  <w:style w:type="character" w:customStyle="1" w:styleId="39">
    <w:name w:val="批注框文本 Char"/>
    <w:link w:val="14"/>
    <w:semiHidden/>
    <w:qFormat/>
    <w:locked/>
    <w:uiPriority w:val="0"/>
    <w:rPr>
      <w:rFonts w:ascii="Times New Roman" w:hAnsi="Times New Roman" w:eastAsia="宋体"/>
      <w:sz w:val="18"/>
    </w:rPr>
  </w:style>
  <w:style w:type="character" w:customStyle="1" w:styleId="40">
    <w:name w:val="普通(网站) Char"/>
    <w:link w:val="22"/>
    <w:qFormat/>
    <w:locked/>
    <w:uiPriority w:val="0"/>
    <w:rPr>
      <w:rFonts w:ascii="宋体" w:hAnsi="宋体" w:eastAsia="宋体"/>
      <w:sz w:val="24"/>
    </w:rPr>
  </w:style>
  <w:style w:type="character" w:customStyle="1" w:styleId="41">
    <w:name w:val="批注主题 Char"/>
    <w:link w:val="24"/>
    <w:semiHidden/>
    <w:qFormat/>
    <w:locked/>
    <w:uiPriority w:val="0"/>
    <w:rPr>
      <w:rFonts w:ascii="Times New Roman" w:hAnsi="Times New Roman" w:eastAsia="宋体"/>
      <w:b/>
      <w:kern w:val="2"/>
      <w:sz w:val="24"/>
    </w:rPr>
  </w:style>
  <w:style w:type="paragraph" w:customStyle="1" w:styleId="42">
    <w:name w:val="Default"/>
    <w:basedOn w:val="43"/>
    <w:next w:val="1"/>
    <w:unhideWhenUsed/>
    <w:qFormat/>
    <w:uiPriority w:val="99"/>
    <w:pPr>
      <w:widowControl w:val="0"/>
      <w:autoSpaceDE w:val="0"/>
      <w:autoSpaceDN w:val="0"/>
    </w:pPr>
    <w:rPr>
      <w:rFonts w:hint="eastAsia" w:ascii="宋体" w:hAnsi="Calibri" w:eastAsia="宋体" w:cs="Times New Roman"/>
      <w:color w:val="000000"/>
      <w:sz w:val="24"/>
      <w:szCs w:val="22"/>
      <w:lang w:val="en-US" w:eastAsia="zh-CN" w:bidi="ar-SA"/>
    </w:rPr>
  </w:style>
  <w:style w:type="paragraph" w:customStyle="1" w:styleId="43">
    <w:name w:val="纯文本1"/>
    <w:basedOn w:val="1"/>
    <w:qFormat/>
    <w:uiPriority w:val="0"/>
    <w:pPr>
      <w:adjustRightInd w:val="0"/>
    </w:pPr>
    <w:rPr>
      <w:rFonts w:ascii="宋体" w:hAnsi="Courier New"/>
      <w:szCs w:val="20"/>
    </w:rPr>
  </w:style>
  <w:style w:type="paragraph" w:customStyle="1" w:styleId="44">
    <w:name w:val="+正文"/>
    <w:basedOn w:val="1"/>
    <w:qFormat/>
    <w:uiPriority w:val="0"/>
    <w:pPr>
      <w:adjustRightInd w:val="0"/>
      <w:snapToGrid w:val="0"/>
      <w:spacing w:line="360" w:lineRule="auto"/>
      <w:ind w:firstLine="200" w:firstLineChars="200"/>
    </w:pPr>
    <w:rPr>
      <w:rFonts w:ascii="Times New Roman" w:hAnsi="Times New Roman" w:eastAsia="宋体"/>
      <w:sz w:val="24"/>
    </w:rPr>
  </w:style>
  <w:style w:type="character" w:customStyle="1" w:styleId="45">
    <w:name w:val="批注文字 字符1"/>
    <w:semiHidden/>
    <w:qFormat/>
    <w:uiPriority w:val="0"/>
    <w:rPr>
      <w:rFonts w:ascii="Times New Roman" w:hAnsi="Times New Roman" w:eastAsia="宋体"/>
      <w:sz w:val="24"/>
    </w:rPr>
  </w:style>
  <w:style w:type="character" w:customStyle="1" w:styleId="46">
    <w:name w:val="日期 字符"/>
    <w:semiHidden/>
    <w:qFormat/>
    <w:uiPriority w:val="0"/>
    <w:rPr>
      <w:rFonts w:ascii="Times New Roman" w:hAnsi="Times New Roman" w:eastAsia="宋体"/>
      <w:sz w:val="24"/>
    </w:rPr>
  </w:style>
  <w:style w:type="character" w:customStyle="1" w:styleId="47">
    <w:name w:val="表格 Char"/>
    <w:link w:val="48"/>
    <w:qFormat/>
    <w:locked/>
    <w:uiPriority w:val="0"/>
    <w:rPr>
      <w:rFonts w:ascii="宋体"/>
      <w:sz w:val="21"/>
    </w:rPr>
  </w:style>
  <w:style w:type="paragraph" w:customStyle="1" w:styleId="48">
    <w:name w:val="表格"/>
    <w:basedOn w:val="19"/>
    <w:next w:val="1"/>
    <w:link w:val="47"/>
    <w:qFormat/>
    <w:uiPriority w:val="0"/>
    <w:pPr>
      <w:adjustRightInd w:val="0"/>
      <w:snapToGrid w:val="0"/>
      <w:spacing w:beforeLines="10" w:afterLines="10" w:line="259" w:lineRule="auto"/>
      <w:jc w:val="center"/>
    </w:pPr>
    <w:rPr>
      <w:rFonts w:ascii="宋体"/>
      <w:kern w:val="0"/>
      <w:szCs w:val="20"/>
    </w:rPr>
  </w:style>
  <w:style w:type="character" w:customStyle="1" w:styleId="49">
    <w:name w:val="页脚 字符"/>
    <w:basedOn w:val="29"/>
    <w:qFormat/>
    <w:uiPriority w:val="99"/>
  </w:style>
  <w:style w:type="character" w:customStyle="1" w:styleId="50">
    <w:name w:val="正文文本 字符1"/>
    <w:semiHidden/>
    <w:qFormat/>
    <w:uiPriority w:val="0"/>
    <w:rPr>
      <w:rFonts w:ascii="Times New Roman" w:hAnsi="Times New Roman" w:eastAsia="宋体"/>
      <w:sz w:val="24"/>
    </w:rPr>
  </w:style>
  <w:style w:type="paragraph" w:customStyle="1" w:styleId="51">
    <w:name w:val="正文格式"/>
    <w:basedOn w:val="52"/>
    <w:qFormat/>
    <w:uiPriority w:val="99"/>
    <w:pPr>
      <w:spacing w:line="360" w:lineRule="auto"/>
      <w:ind w:firstLine="200" w:firstLineChars="200"/>
    </w:pPr>
    <w:rPr>
      <w:rFonts w:hAnsi="Times New Roman" w:cs="Times New Roman"/>
      <w:kern w:val="0"/>
    </w:rPr>
  </w:style>
  <w:style w:type="paragraph" w:customStyle="1" w:styleId="52">
    <w:name w:val="样式 (符号) 宋体 小四 首行缩进:  0.95 厘米 行距: 1.5 倍行距"/>
    <w:basedOn w:val="1"/>
    <w:qFormat/>
    <w:uiPriority w:val="0"/>
    <w:pPr>
      <w:spacing w:line="360" w:lineRule="auto"/>
      <w:ind w:firstLine="200" w:firstLineChars="200"/>
    </w:pPr>
    <w:rPr>
      <w:rFonts w:hAnsi="宋体" w:cs="宋体"/>
      <w:sz w:val="24"/>
      <w:szCs w:val="20"/>
    </w:rPr>
  </w:style>
  <w:style w:type="paragraph" w:customStyle="1" w:styleId="53">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5">
    <w:name w:val="表格2"/>
    <w:basedOn w:val="1"/>
    <w:qFormat/>
    <w:uiPriority w:val="0"/>
    <w:pPr>
      <w:spacing w:line="240" w:lineRule="auto"/>
      <w:ind w:firstLine="0" w:firstLineChars="0"/>
      <w:jc w:val="center"/>
    </w:pPr>
    <w:rPr>
      <w:sz w:val="21"/>
    </w:rPr>
  </w:style>
  <w:style w:type="paragraph" w:customStyle="1" w:styleId="56">
    <w:name w:val="表头"/>
    <w:basedOn w:val="10"/>
    <w:next w:val="1"/>
    <w:qFormat/>
    <w:uiPriority w:val="0"/>
    <w:pPr>
      <w:ind w:firstLine="0" w:firstLineChars="0"/>
      <w:jc w:val="center"/>
    </w:pPr>
    <w:rPr>
      <w:rFonts w:ascii="Times New Roman" w:hAnsi="Times New Roman"/>
      <w:b/>
    </w:rPr>
  </w:style>
  <w:style w:type="paragraph" w:customStyle="1" w:styleId="57">
    <w:name w:val="+表头"/>
    <w:basedOn w:val="1"/>
    <w:next w:val="44"/>
    <w:qFormat/>
    <w:uiPriority w:val="0"/>
    <w:pPr>
      <w:adjustRightInd w:val="0"/>
      <w:snapToGrid w:val="0"/>
      <w:jc w:val="center"/>
    </w:pPr>
    <w:rPr>
      <w:rFonts w:ascii="Times New Roman" w:hAnsi="Times New Roman"/>
      <w:b/>
      <w:szCs w:val="21"/>
    </w:rPr>
  </w:style>
  <w:style w:type="paragraph" w:customStyle="1" w:styleId="58">
    <w:name w:val="Table Paragraph"/>
    <w:basedOn w:val="1"/>
    <w:qFormat/>
    <w:uiPriority w:val="1"/>
    <w:rPr>
      <w:rFonts w:ascii="宋体" w:hAnsi="宋体" w:eastAsia="宋体" w:cs="宋体"/>
      <w:lang w:val="zh-CN" w:eastAsia="zh-CN" w:bidi="zh-CN"/>
    </w:rPr>
  </w:style>
  <w:style w:type="paragraph" w:customStyle="1" w:styleId="59">
    <w:name w:val="Default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0">
    <w:name w:val="报告书正文"/>
    <w:basedOn w:val="1"/>
    <w:qFormat/>
    <w:locked/>
    <w:uiPriority w:val="0"/>
    <w:pPr>
      <w:snapToGrid w:val="0"/>
      <w:spacing w:line="300" w:lineRule="auto"/>
      <w:ind w:firstLine="200" w:firstLineChars="200"/>
      <w:jc w:val="left"/>
    </w:pPr>
    <w:rPr>
      <w:rFonts w:ascii="Times New Roman" w:hAnsi="Times New Roman"/>
      <w:kern w:val="0"/>
      <w:szCs w:val="20"/>
    </w:rPr>
  </w:style>
  <w:style w:type="paragraph" w:customStyle="1" w:styleId="61">
    <w:name w:val="表格-黄冈"/>
    <w:basedOn w:val="11"/>
    <w:qFormat/>
    <w:uiPriority w:val="0"/>
    <w:pPr>
      <w:spacing w:after="0" w:line="240" w:lineRule="auto"/>
      <w:ind w:left="0" w:leftChars="0" w:firstLine="0" w:firstLineChars="0"/>
    </w:pPr>
    <w:rPr>
      <w:rFonts w:cs="宋体"/>
      <w:b/>
      <w:kern w:val="0"/>
      <w:sz w:val="21"/>
    </w:rPr>
  </w:style>
  <w:style w:type="paragraph" w:customStyle="1" w:styleId="62">
    <w:name w:val="表格文字"/>
    <w:basedOn w:val="1"/>
    <w:next w:val="1"/>
    <w:qFormat/>
    <w:uiPriority w:val="0"/>
    <w:pPr>
      <w:spacing w:line="240" w:lineRule="auto"/>
      <w:ind w:firstLine="0" w:firstLineChars="0"/>
      <w:jc w:val="center"/>
    </w:pPr>
    <w:rPr>
      <w:rFonts w:ascii="Times New Roman" w:hAnsi="Times New Roman"/>
      <w:kern w:val="44"/>
      <w:sz w:val="21"/>
    </w:rPr>
  </w:style>
  <w:style w:type="paragraph" w:customStyle="1" w:styleId="63">
    <w:name w:val="Char11"/>
    <w:basedOn w:val="26"/>
    <w:qFormat/>
    <w:uiPriority w:val="0"/>
    <w:pPr>
      <w:widowControl/>
      <w:adjustRightInd w:val="0"/>
      <w:snapToGrid w:val="0"/>
      <w:spacing w:after="0" w:line="360" w:lineRule="auto"/>
      <w:ind w:left="0" w:leftChars="0" w:firstLine="200"/>
      <w:jc w:val="left"/>
    </w:pPr>
    <w:rPr>
      <w:rFonts w:ascii="宋体" w:cs="宋体"/>
      <w:kern w:val="0"/>
      <w:sz w:val="24"/>
      <w:szCs w:val="24"/>
    </w:rPr>
  </w:style>
  <w:style w:type="paragraph" w:styleId="64">
    <w:name w:val="List Paragraph"/>
    <w:basedOn w:val="1"/>
    <w:qFormat/>
    <w:uiPriority w:val="1"/>
    <w:pPr>
      <w:ind w:left="288" w:hanging="361"/>
    </w:pPr>
  </w:style>
  <w:style w:type="character" w:customStyle="1" w:styleId="65">
    <w:name w:val="fontstyle01"/>
    <w:basedOn w:val="29"/>
    <w:qFormat/>
    <w:uiPriority w:val="0"/>
    <w:rPr>
      <w:rFonts w:hint="eastAsia" w:ascii="宋体" w:hAnsi="宋体" w:eastAsia="宋体"/>
      <w:color w:val="000000"/>
      <w:sz w:val="24"/>
      <w:szCs w:val="24"/>
    </w:rPr>
  </w:style>
  <w:style w:type="paragraph" w:customStyle="1" w:styleId="66">
    <w:name w:val="列出段落1"/>
    <w:basedOn w:val="1"/>
    <w:qFormat/>
    <w:uiPriority w:val="34"/>
    <w:pPr>
      <w:ind w:firstLine="200" w:firstLineChars="200"/>
    </w:pPr>
  </w:style>
  <w:style w:type="character" w:customStyle="1" w:styleId="67">
    <w:name w:val="正文文本 + SimHei9"/>
    <w:qFormat/>
    <w:uiPriority w:val="0"/>
    <w:rPr>
      <w:rFonts w:ascii="黑体" w:hAnsi="黑体" w:eastAsia="Arial Unicode MS" w:cs="黑体"/>
      <w:sz w:val="21"/>
      <w:szCs w:val="21"/>
      <w:u w:val="none"/>
    </w:rPr>
  </w:style>
  <w:style w:type="paragraph" w:customStyle="1" w:styleId="68">
    <w:name w:val="WPSOffice手动目录 1"/>
    <w:qFormat/>
    <w:uiPriority w:val="0"/>
    <w:rPr>
      <w:rFonts w:ascii="Calibri" w:hAnsi="Calibri" w:eastAsia="Calibri" w:cs="Times New Roman"/>
      <w:lang w:val="en-US" w:eastAsia="zh-CN" w:bidi="ar-SA"/>
    </w:rPr>
  </w:style>
  <w:style w:type="paragraph" w:customStyle="1" w:styleId="69">
    <w:name w:val="样式9"/>
    <w:qFormat/>
    <w:uiPriority w:val="99"/>
    <w:pPr>
      <w:adjustRightInd w:val="0"/>
      <w:snapToGrid w:val="0"/>
      <w:spacing w:beforeLines="50"/>
      <w:ind w:firstLine="200" w:firstLineChars="200"/>
    </w:pPr>
    <w:rPr>
      <w:rFonts w:ascii="Times New Roman" w:hAnsi="宋体" w:eastAsia="Times New Roman" w:cs="Times New Roman"/>
      <w:b/>
      <w:bCs/>
      <w:lang w:val="en-US" w:eastAsia="zh-CN" w:bidi="ar-SA"/>
    </w:rPr>
  </w:style>
  <w:style w:type="paragraph" w:customStyle="1" w:styleId="70">
    <w:name w:val="XQ表格文字"/>
    <w:basedOn w:val="1"/>
    <w:qFormat/>
    <w:uiPriority w:val="0"/>
    <w:pPr>
      <w:tabs>
        <w:tab w:val="left" w:pos="420"/>
        <w:tab w:val="center" w:pos="623"/>
      </w:tabs>
      <w:adjustRightInd w:val="0"/>
      <w:snapToGrid w:val="0"/>
      <w:jc w:val="center"/>
    </w:pPr>
    <w:rPr>
      <w:color w:val="000000"/>
      <w:kern w:val="0"/>
      <w:szCs w:val="21"/>
    </w:rPr>
  </w:style>
  <w:style w:type="table" w:customStyle="1" w:styleId="71">
    <w:name w:val="Table Normal"/>
    <w:semiHidden/>
    <w:unhideWhenUsed/>
    <w:qFormat/>
    <w:uiPriority w:val="0"/>
    <w:tblPr>
      <w:tblCellMar>
        <w:top w:w="0" w:type="dxa"/>
        <w:left w:w="0" w:type="dxa"/>
        <w:bottom w:w="0" w:type="dxa"/>
        <w:right w:w="0" w:type="dxa"/>
      </w:tblCellMar>
    </w:tblPr>
  </w:style>
  <w:style w:type="paragraph" w:customStyle="1" w:styleId="72">
    <w:name w:val="正文缩进1"/>
    <w:basedOn w:val="1"/>
    <w:qFormat/>
    <w:uiPriority w:val="0"/>
    <w:pPr>
      <w:ind w:firstLine="420" w:firstLineChars="200"/>
    </w:pPr>
  </w:style>
  <w:style w:type="character" w:customStyle="1" w:styleId="73">
    <w:name w:val="font01"/>
    <w:basedOn w:val="29"/>
    <w:qFormat/>
    <w:uiPriority w:val="0"/>
    <w:rPr>
      <w:rFonts w:hint="eastAsia" w:ascii="宋体" w:hAnsi="宋体" w:eastAsia="宋体" w:cs="宋体"/>
      <w:color w:val="000000"/>
      <w:sz w:val="24"/>
      <w:szCs w:val="24"/>
      <w:u w:val="none"/>
    </w:rPr>
  </w:style>
  <w:style w:type="paragraph" w:customStyle="1" w:styleId="74">
    <w:name w:val="环评表中文字"/>
    <w:basedOn w:val="1"/>
    <w:qFormat/>
    <w:uiPriority w:val="0"/>
    <w:pPr>
      <w:jc w:val="center"/>
    </w:pPr>
    <w:rPr>
      <w:sz w:val="24"/>
      <w:szCs w:val="22"/>
    </w:rPr>
  </w:style>
  <w:style w:type="paragraph" w:customStyle="1" w:styleId="75">
    <w:name w:val="正文-ls"/>
    <w:basedOn w:val="1"/>
    <w:qFormat/>
    <w:uiPriority w:val="99"/>
    <w:pPr>
      <w:spacing w:line="360" w:lineRule="auto"/>
      <w:ind w:firstLine="200" w:firstLineChars="200"/>
    </w:pPr>
    <w:rPr>
      <w:rFonts w:hAnsi="宋体" w:cs="宋体"/>
      <w:sz w:val="24"/>
      <w:szCs w:val="20"/>
    </w:rPr>
  </w:style>
  <w:style w:type="paragraph" w:customStyle="1" w:styleId="76">
    <w:name w:val="表格标题"/>
    <w:basedOn w:val="1"/>
    <w:next w:val="1"/>
    <w:qFormat/>
    <w:uiPriority w:val="0"/>
    <w:pPr>
      <w:adjustRightInd w:val="0"/>
      <w:spacing w:line="360" w:lineRule="auto"/>
      <w:ind w:firstLine="0" w:firstLineChars="0"/>
      <w:jc w:val="center"/>
    </w:pPr>
    <w:rPr>
      <w:rFonts w:ascii="Times New Roman" w:hAnsi="Times New Roman" w:eastAsia="宋体"/>
      <w:b/>
      <w:kern w:val="0"/>
      <w:sz w:val="21"/>
      <w:szCs w:val="28"/>
    </w:rPr>
  </w:style>
  <w:style w:type="paragraph" w:customStyle="1" w:styleId="77">
    <w:name w:val="正文(首行缩进)"/>
    <w:basedOn w:val="1"/>
    <w:semiHidden/>
    <w:qFormat/>
    <w:uiPriority w:val="0"/>
    <w:pPr>
      <w:spacing w:line="360" w:lineRule="auto"/>
      <w:ind w:firstLine="540" w:firstLineChars="225"/>
    </w:pPr>
    <w:rPr>
      <w:snapToGrid w:val="0"/>
      <w:color w:val="00000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png"/><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czODQ0NTA3MjUzIiwKCSJHcm91cElkIiA6ICI0ODM1ODAxMjYiLAoJIkltYWdlIiA6ICJpVkJPUncwS0dnb0FBQUFOU1VoRVVnQUFCRWdBQUFKYUNBWUFBQUE4dFhKOEFBQUFDWEJJV1hNQUFBc1RBQUFMRXdFQW1wd1lBQUFnQUVsRVFWUjRuT3pkZVhqTTUvNy84ZGRrbFpBSUZiUzJXa05WTlVuUldrcFIyMEdkVWkzSFhtSnBxeHc5K20xTHRhV2J0WlpLcVNXSTJCMUtRMCtwMk5xaVNWcGJpaXBPVVV0dENiTFAvUDd3bXptSnpHUWh5V1F5ejhkMTlick0vZG5lb3o0ejk3dy85LzIrSl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NyOVA5enJyaTlQQm94MUFBQUFBRWxGVGtTdVFtQ0MiLAoJIlRoZW1lIiA6ICIiLAoJIlR5cGUiIDogImZsb3ciLAoJIlZlcnNpb24iIDogIjU2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52</Pages>
  <Words>24634</Words>
  <Characters>29656</Characters>
  <Lines>13</Lines>
  <Paragraphs>3</Paragraphs>
  <TotalTime>2</TotalTime>
  <ScaleCrop>false</ScaleCrop>
  <LinksUpToDate>false</LinksUpToDate>
  <CharactersWithSpaces>29907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The Phoenix</cp:lastModifiedBy>
  <cp:lastPrinted>2020-12-29T02:43:00Z</cp:lastPrinted>
  <dcterms:modified xsi:type="dcterms:W3CDTF">2022-06-30T08:27:59Z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4A33A34EA31D401B82967BC63D8A525E</vt:lpwstr>
  </property>
  <property fmtid="{D5CDD505-2E9C-101B-9397-08002B2CF9AE}" pid="4" name="commondata">
    <vt:lpwstr>eyJoZGlkIjoiYTA0YWE1YzAxZTgxOTdiNjMxM2VjMTFiZThlODgxY2EifQ==</vt:lpwstr>
  </property>
</Properties>
</file>