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0"/>
        <w:jc w:val="center"/>
        <w:rPr>
          <w:rFonts w:hint="eastAsia" w:ascii="黑体" w:hAnsi="黑体" w:eastAsia="黑体"/>
          <w:b/>
          <w:bCs/>
          <w:color w:val="333333"/>
          <w:sz w:val="36"/>
          <w:szCs w:val="36"/>
          <w:shd w:val="clear" w:color="auto" w:fill="FFFFFF"/>
        </w:rPr>
      </w:pPr>
      <w:r>
        <w:rPr>
          <w:rFonts w:hint="eastAsia" w:ascii="黑体" w:hAnsi="黑体" w:eastAsia="黑体"/>
          <w:b/>
          <w:bCs/>
          <w:color w:val="333333"/>
          <w:sz w:val="36"/>
          <w:szCs w:val="36"/>
          <w:shd w:val="clear" w:color="auto" w:fill="FFFFFF"/>
        </w:rPr>
        <w:t>西安市莲湖区土门街道办事处</w:t>
      </w:r>
    </w:p>
    <w:p>
      <w:pPr>
        <w:spacing w:line="560" w:lineRule="exact"/>
        <w:ind w:firstLine="640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2020年部门综合预算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</w:p>
    <w:p>
      <w:pPr>
        <w:spacing w:line="560" w:lineRule="exact"/>
        <w:ind w:firstLine="643"/>
        <w:jc w:val="center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目  录</w:t>
      </w:r>
    </w:p>
    <w:p>
      <w:pPr>
        <w:spacing w:line="560" w:lineRule="exact"/>
        <w:ind w:firstLine="643"/>
        <w:jc w:val="center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第一部分   部门概况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一、部门主要职责及机构设置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二、2020年年度部门工作任务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三、部门预算单位构成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四、部门人员情况说明</w:t>
      </w:r>
    </w:p>
    <w:p>
      <w:pPr>
        <w:spacing w:line="560" w:lineRule="exact"/>
        <w:ind w:firstLine="643"/>
        <w:jc w:val="center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第二部分   收支情况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五、2020年部门预算收支说明</w:t>
      </w:r>
    </w:p>
    <w:p>
      <w:pPr>
        <w:spacing w:line="560" w:lineRule="exact"/>
        <w:ind w:firstLine="643"/>
        <w:jc w:val="center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第三部分   其他说明情况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六、部门预算“三公”经费等情况说明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七、部门国有资产占有使用及资产购置情况说明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八、部门政府采购情况说明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九、部门预算绩效目标说明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十、机关运行经费安排说明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十一、专业名词解释</w:t>
      </w:r>
    </w:p>
    <w:p>
      <w:pPr>
        <w:spacing w:line="560" w:lineRule="exact"/>
        <w:ind w:firstLine="643"/>
        <w:jc w:val="center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第四部分   公开报表</w:t>
      </w:r>
    </w:p>
    <w:p>
      <w:pPr>
        <w:spacing w:line="560" w:lineRule="exact"/>
        <w:jc w:val="center"/>
        <w:rPr>
          <w:rFonts w:ascii="仿宋_GB2312" w:hAnsi="仿宋" w:eastAsia="仿宋_GB2312" w:cs="仿宋"/>
          <w:b/>
          <w:bCs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" w:eastAsia="仿宋_GB2312" w:cs="仿宋"/>
          <w:b/>
          <w:bCs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hAnsi="仿宋" w:eastAsia="仿宋_GB2312" w:cs="仿宋"/>
          <w:b/>
          <w:bCs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第一部分  部门概况</w:t>
      </w:r>
    </w:p>
    <w:p>
      <w:pPr>
        <w:spacing w:line="560" w:lineRule="exact"/>
        <w:ind w:firstLine="643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一、部门主要职责及机构设置</w:t>
      </w:r>
    </w:p>
    <w:p>
      <w:pPr>
        <w:ind w:firstLine="645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（一）部门主要职责</w:t>
      </w:r>
    </w:p>
    <w:p>
      <w:pPr>
        <w:ind w:firstLine="645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宣传贯彻落实党和政府的各项方针、政策，执行上级的决议、决定和命令。根据有关政策规定制定本地区具体实施办法，并认真落实。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加强和改进党的领导，发挥基层党组织的战斗堡垒作用和共产党员的先锋模范作用，加强街道党的思想、组织、作风、制度建设，抓好社区党建和地区党建联席会工作，加强党的纪律检查工作。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根据市、区经济发展总体目标，结合本地区实际情况，制定本地区经济发展规划，发挥地区优势，因地制宜的发展街道经济。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指导社区居民委员会工作，负责人民调解工作。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负责街道的财政、科技、劳务、人防、综合治理、文教体育、民族宗教、卫生防疫、环境保护、城建绿化等项工作。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负责取缔、纠正在道路、公共场所违法设摊、堆物、占道等行为。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组织开展创建文明单位、文明街道、文明院落和“五好家庭”等群众性的精神文明建设创建活动，开展科普活动。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组织开展拥军优属，进行国防动员和兵役工作。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负责计划生育管理工作，调解居民婚姻纠纷。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搞好待业人员管理、劳动就业推荐，组织防灾救灾、社会救助，做好低保等社会保障工作。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负责地区人大代表的选举和政协委员的联络等工作；及时反映居民的意见和要求，处理群众来信来访。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加强和改进地区工会、共青团、妇联的工作。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做好统计工作。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按照干部管理权限和程序，任免、调配、考核和奖惩街道机关工作人员。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加强机关自身建设，教育机关工作人员忠于职守，勤政廉政，提高工作效率。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承办区委、区政府交办的其它工作。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（二）机构设置</w:t>
      </w:r>
    </w:p>
    <w:p>
      <w:pPr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本单位设置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六大科室三个中心</w:t>
      </w:r>
      <w:r>
        <w:rPr>
          <w:rFonts w:hint="eastAsia" w:ascii="仿宋" w:hAnsi="仿宋" w:eastAsia="仿宋"/>
          <w:sz w:val="32"/>
          <w:szCs w:val="32"/>
        </w:rPr>
        <w:t>，包括党政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综合</w:t>
      </w:r>
      <w:r>
        <w:rPr>
          <w:rFonts w:hint="eastAsia" w:ascii="仿宋" w:hAnsi="仿宋" w:eastAsia="仿宋"/>
          <w:sz w:val="32"/>
          <w:szCs w:val="32"/>
        </w:rPr>
        <w:t>办公室、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党建工作办公室（人大工委办公室）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社会治理和平安建设办公室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区域发展办公室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城市综合管理办公室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社会事务</w:t>
      </w:r>
      <w:r>
        <w:rPr>
          <w:rFonts w:hint="eastAsia" w:ascii="仿宋" w:hAnsi="仿宋" w:eastAsia="仿宋"/>
          <w:sz w:val="32"/>
          <w:szCs w:val="32"/>
        </w:rPr>
        <w:t>办公室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党群服务中心、综合治理和网格化服务管理中心、综合保障服务中心。</w:t>
      </w:r>
    </w:p>
    <w:p>
      <w:pPr>
        <w:spacing w:line="560" w:lineRule="exact"/>
        <w:ind w:firstLine="643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二、2020年度部门工作任务</w:t>
      </w:r>
    </w:p>
    <w:p>
      <w:pPr>
        <w:ind w:firstLine="640" w:firstLineChars="200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20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color w:val="auto"/>
          <w:sz w:val="32"/>
          <w:szCs w:val="32"/>
        </w:rPr>
        <w:t>年街道工作任务是：一是坚持项目带动战略，确保地区经济平稳较快发展；二是提升生态治理工作，不断改善人居环境质量；三是加快发展社会事业，着力保障和改善民生；四是加强和创新社会管理，全面提升群众安全感；五是提高行政效能水平，倾力打造铁军队伍。</w:t>
      </w:r>
    </w:p>
    <w:p>
      <w:pPr>
        <w:spacing w:line="560" w:lineRule="exact"/>
        <w:ind w:firstLine="643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三、部门预算单位构成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西安市莲湖区土门街道办事处组成单位为土门街道办事处机关、土门环卫所。无下属部门。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单位性质：土门街道办事处机关为全额拨款的行政单位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土门环卫所为全额拨款的事业单位</w:t>
      </w:r>
    </w:p>
    <w:p>
      <w:pPr>
        <w:spacing w:line="560" w:lineRule="exact"/>
        <w:ind w:firstLine="643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四、部门人员情况说明</w:t>
      </w:r>
    </w:p>
    <w:p>
      <w:pPr>
        <w:ind w:firstLine="645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截止201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color w:val="auto"/>
          <w:sz w:val="32"/>
          <w:szCs w:val="32"/>
        </w:rPr>
        <w:t>年底，本部门人员编制101人，其中行政编制60人、事业编制41人；实有人员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96</w:t>
      </w:r>
      <w:r>
        <w:rPr>
          <w:rFonts w:hint="eastAsia" w:ascii="仿宋" w:hAnsi="仿宋" w:eastAsia="仿宋"/>
          <w:color w:val="auto"/>
          <w:sz w:val="32"/>
          <w:szCs w:val="32"/>
        </w:rPr>
        <w:t>人，其中行政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58</w:t>
      </w:r>
      <w:r>
        <w:rPr>
          <w:rFonts w:hint="eastAsia" w:ascii="仿宋" w:hAnsi="仿宋" w:eastAsia="仿宋"/>
          <w:color w:val="auto"/>
          <w:sz w:val="32"/>
          <w:szCs w:val="32"/>
        </w:rPr>
        <w:t>人、事业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38</w:t>
      </w:r>
      <w:r>
        <w:rPr>
          <w:rFonts w:hint="eastAsia" w:ascii="仿宋" w:hAnsi="仿宋" w:eastAsia="仿宋"/>
          <w:color w:val="auto"/>
          <w:sz w:val="32"/>
          <w:szCs w:val="32"/>
        </w:rPr>
        <w:t>人。单位管理的离休人员0人，退休人员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37</w:t>
      </w:r>
      <w:r>
        <w:rPr>
          <w:rFonts w:hint="eastAsia" w:ascii="仿宋" w:hAnsi="仿宋" w:eastAsia="仿宋"/>
          <w:color w:val="auto"/>
          <w:sz w:val="32"/>
          <w:szCs w:val="32"/>
        </w:rPr>
        <w:t>人。</w:t>
      </w:r>
    </w:p>
    <w:p>
      <w:pPr>
        <w:spacing w:line="560" w:lineRule="exact"/>
        <w:ind w:firstLine="643"/>
        <w:jc w:val="center"/>
        <w:rPr>
          <w:rFonts w:hint="eastAsia" w:ascii="仿宋_GB2312" w:hAnsi="仿宋" w:eastAsia="仿宋_GB2312" w:cs="仿宋"/>
          <w:b/>
          <w:bCs/>
          <w:sz w:val="32"/>
          <w:szCs w:val="32"/>
        </w:rPr>
      </w:pPr>
    </w:p>
    <w:p>
      <w:pPr>
        <w:spacing w:line="560" w:lineRule="exact"/>
        <w:ind w:firstLine="643"/>
        <w:jc w:val="center"/>
        <w:rPr>
          <w:rFonts w:hint="eastAsia" w:ascii="仿宋_GB2312" w:hAnsi="仿宋" w:eastAsia="仿宋_GB2312" w:cs="仿宋"/>
          <w:b/>
          <w:bCs/>
          <w:sz w:val="32"/>
          <w:szCs w:val="32"/>
        </w:rPr>
      </w:pPr>
    </w:p>
    <w:p>
      <w:pPr>
        <w:spacing w:line="560" w:lineRule="exact"/>
        <w:ind w:firstLine="643"/>
        <w:jc w:val="center"/>
        <w:rPr>
          <w:rFonts w:hint="eastAsia" w:ascii="仿宋_GB2312" w:hAnsi="仿宋" w:eastAsia="仿宋_GB2312" w:cs="仿宋"/>
          <w:b/>
          <w:bCs/>
          <w:sz w:val="32"/>
          <w:szCs w:val="32"/>
        </w:rPr>
      </w:pPr>
    </w:p>
    <w:p>
      <w:pPr>
        <w:spacing w:line="560" w:lineRule="exact"/>
        <w:ind w:firstLine="643"/>
        <w:jc w:val="center"/>
        <w:rPr>
          <w:rFonts w:hint="eastAsia" w:ascii="仿宋_GB2312" w:hAnsi="仿宋" w:eastAsia="仿宋_GB2312" w:cs="仿宋"/>
          <w:b/>
          <w:bCs/>
          <w:sz w:val="32"/>
          <w:szCs w:val="32"/>
        </w:rPr>
      </w:pPr>
    </w:p>
    <w:p>
      <w:pPr>
        <w:spacing w:line="560" w:lineRule="exact"/>
        <w:ind w:firstLine="643"/>
        <w:jc w:val="center"/>
        <w:rPr>
          <w:rFonts w:hint="eastAsia" w:ascii="仿宋_GB2312" w:hAnsi="仿宋" w:eastAsia="仿宋_GB2312" w:cs="仿宋"/>
          <w:b/>
          <w:bCs/>
          <w:sz w:val="32"/>
          <w:szCs w:val="32"/>
        </w:rPr>
      </w:pPr>
    </w:p>
    <w:p>
      <w:pPr>
        <w:spacing w:line="560" w:lineRule="exact"/>
        <w:ind w:firstLine="643"/>
        <w:jc w:val="center"/>
        <w:rPr>
          <w:rFonts w:hint="eastAsia" w:ascii="仿宋_GB2312" w:hAnsi="仿宋" w:eastAsia="仿宋_GB2312" w:cs="仿宋"/>
          <w:b/>
          <w:bCs/>
          <w:sz w:val="32"/>
          <w:szCs w:val="32"/>
        </w:rPr>
      </w:pPr>
      <w:r>
        <w:rPr>
          <w:rFonts w:ascii="仿宋" w:hAnsi="仿宋" w:eastAsia="仿宋"/>
          <w:color w:val="0000FF"/>
          <w:sz w:val="32"/>
          <w:szCs w:val="32"/>
        </w:rPr>
        <w:pict>
          <v:shape id="_x0000_s1026" o:spid="_x0000_s1026" o:spt="75" type="#_x0000_t75" style="position:absolute;left:0pt;margin-left:128.75pt;margin-top:-118.45pt;height:140.85pt;width:216.8pt;mso-wrap-distance-bottom:0pt;mso-wrap-distance-left:9pt;mso-wrap-distance-right:9pt;mso-wrap-distance-top:0pt;z-index:251659264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square"/>
          </v:shape>
          <o:OLEObject Type="Embed" ProgID="MSGraph.Chart.8" ShapeID="_x0000_s1026" DrawAspect="Content" ObjectID="_1468075725" r:id="rId6">
            <o:LockedField>false</o:LockedField>
          </o:OLEObject>
        </w:pict>
      </w:r>
    </w:p>
    <w:p>
      <w:pPr>
        <w:spacing w:line="560" w:lineRule="exact"/>
        <w:ind w:firstLine="643"/>
        <w:jc w:val="center"/>
        <w:rPr>
          <w:rFonts w:hint="eastAsia" w:ascii="仿宋_GB2312" w:hAnsi="仿宋" w:eastAsia="仿宋_GB2312" w:cs="仿宋"/>
          <w:b/>
          <w:bCs/>
          <w:sz w:val="32"/>
          <w:szCs w:val="32"/>
        </w:rPr>
      </w:pPr>
    </w:p>
    <w:p>
      <w:pPr>
        <w:spacing w:line="560" w:lineRule="exact"/>
        <w:ind w:firstLine="643"/>
        <w:jc w:val="center"/>
        <w:rPr>
          <w:rFonts w:hint="eastAsia" w:ascii="仿宋_GB2312" w:hAnsi="仿宋" w:eastAsia="仿宋_GB2312" w:cs="仿宋"/>
          <w:b/>
          <w:bCs/>
          <w:sz w:val="32"/>
          <w:szCs w:val="32"/>
        </w:rPr>
      </w:pPr>
    </w:p>
    <w:p>
      <w:pPr>
        <w:spacing w:line="560" w:lineRule="exact"/>
        <w:ind w:firstLine="643"/>
        <w:jc w:val="center"/>
        <w:rPr>
          <w:rFonts w:hint="eastAsia" w:ascii="仿宋_GB2312" w:hAnsi="仿宋" w:eastAsia="仿宋_GB2312" w:cs="仿宋"/>
          <w:b/>
          <w:bCs/>
          <w:sz w:val="32"/>
          <w:szCs w:val="32"/>
        </w:rPr>
      </w:pPr>
    </w:p>
    <w:p>
      <w:pPr>
        <w:spacing w:line="560" w:lineRule="exact"/>
        <w:ind w:firstLine="643"/>
        <w:jc w:val="center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第二部分  收支情况</w:t>
      </w:r>
    </w:p>
    <w:p>
      <w:pPr>
        <w:spacing w:line="560" w:lineRule="exact"/>
        <w:ind w:firstLine="643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五、2020年部门预算收支说明</w:t>
      </w:r>
    </w:p>
    <w:p>
      <w:pPr>
        <w:spacing w:line="560" w:lineRule="exact"/>
        <w:ind w:firstLine="643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（一）收支预算总体情况。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按照综合预算的原则，本部门所有收入和支出均纳入部门预算管理。2020年本部门预算收入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3501.34</w:t>
      </w:r>
      <w:r>
        <w:rPr>
          <w:rFonts w:hint="eastAsia" w:ascii="仿宋_GB2312" w:hAnsi="仿宋" w:eastAsia="仿宋_GB2312" w:cs="仿宋"/>
          <w:sz w:val="32"/>
          <w:szCs w:val="32"/>
        </w:rPr>
        <w:t>万元，其中一般公共预算拨款收入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3240</w:t>
      </w:r>
      <w:r>
        <w:rPr>
          <w:rFonts w:hint="eastAsia" w:ascii="仿宋_GB2312" w:hAnsi="仿宋" w:eastAsia="仿宋_GB2312" w:cs="仿宋"/>
          <w:sz w:val="32"/>
          <w:szCs w:val="32"/>
        </w:rPr>
        <w:t>万元，2020年本部门预算收入较上年减少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23.46</w:t>
      </w:r>
      <w:r>
        <w:rPr>
          <w:rFonts w:hint="eastAsia" w:ascii="仿宋_GB2312" w:hAnsi="仿宋" w:eastAsia="仿宋_GB2312" w:cs="仿宋"/>
          <w:sz w:val="32"/>
          <w:szCs w:val="32"/>
        </w:rPr>
        <w:t>万元，主要原因是社会保障和就业任务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收入降低，上级补助收入261.34</w:t>
      </w:r>
      <w:r>
        <w:rPr>
          <w:rFonts w:hint="eastAsia" w:ascii="仿宋_GB2312" w:hAnsi="仿宋" w:eastAsia="仿宋_GB2312" w:cs="仿宋"/>
          <w:sz w:val="32"/>
          <w:szCs w:val="32"/>
        </w:rPr>
        <w:t>万元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。</w:t>
      </w:r>
      <w:r>
        <w:rPr>
          <w:rFonts w:hint="eastAsia" w:ascii="仿宋_GB2312" w:hAnsi="仿宋" w:eastAsia="仿宋_GB2312" w:cs="仿宋"/>
          <w:sz w:val="32"/>
          <w:szCs w:val="32"/>
        </w:rPr>
        <w:t>2020年本部门预算支出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3501.34</w:t>
      </w:r>
      <w:r>
        <w:rPr>
          <w:rFonts w:hint="eastAsia" w:ascii="仿宋_GB2312" w:hAnsi="仿宋" w:eastAsia="仿宋_GB2312" w:cs="仿宋"/>
          <w:sz w:val="32"/>
          <w:szCs w:val="32"/>
        </w:rPr>
        <w:t>万元，其中一般公共预算拨款支出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3240</w:t>
      </w:r>
      <w:r>
        <w:rPr>
          <w:rFonts w:hint="eastAsia" w:ascii="仿宋_GB2312" w:hAnsi="仿宋" w:eastAsia="仿宋_GB2312" w:cs="仿宋"/>
          <w:sz w:val="32"/>
          <w:szCs w:val="32"/>
        </w:rPr>
        <w:t>万元，2020年本部门预算支出较上年减少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284.8</w:t>
      </w:r>
      <w:r>
        <w:rPr>
          <w:rFonts w:hint="eastAsia" w:ascii="仿宋_GB2312" w:hAnsi="仿宋" w:eastAsia="仿宋_GB2312" w:cs="仿宋"/>
          <w:sz w:val="32"/>
          <w:szCs w:val="32"/>
        </w:rPr>
        <w:t>万元，主要原因是社会保障和就业任务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支出降低</w:t>
      </w:r>
      <w:r>
        <w:rPr>
          <w:rFonts w:hint="eastAsia" w:ascii="仿宋_GB2312" w:hAnsi="仿宋" w:eastAsia="仿宋_GB2312" w:cs="仿宋"/>
          <w:sz w:val="32"/>
          <w:szCs w:val="32"/>
        </w:rPr>
        <w:t>。</w:t>
      </w:r>
    </w:p>
    <w:p>
      <w:pPr>
        <w:spacing w:line="560" w:lineRule="exact"/>
        <w:ind w:firstLine="643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（二）财政拨款收支情况。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2020年本部门财政拨款收入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3240</w:t>
      </w:r>
      <w:r>
        <w:rPr>
          <w:rFonts w:hint="eastAsia" w:ascii="仿宋_GB2312" w:hAnsi="仿宋" w:eastAsia="仿宋_GB2312" w:cs="仿宋"/>
          <w:sz w:val="32"/>
          <w:szCs w:val="32"/>
        </w:rPr>
        <w:t>万元，其中一般公共预算拨款收入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3240</w:t>
      </w:r>
      <w:r>
        <w:rPr>
          <w:rFonts w:hint="eastAsia" w:ascii="仿宋_GB2312" w:hAnsi="仿宋" w:eastAsia="仿宋_GB2312" w:cs="仿宋"/>
          <w:sz w:val="32"/>
          <w:szCs w:val="32"/>
        </w:rPr>
        <w:t>万元，2020年本部门财政拨款收入较上年减少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23.46</w:t>
      </w:r>
      <w:r>
        <w:rPr>
          <w:rFonts w:hint="eastAsia" w:ascii="仿宋_GB2312" w:hAnsi="仿宋" w:eastAsia="仿宋_GB2312" w:cs="仿宋"/>
          <w:sz w:val="32"/>
          <w:szCs w:val="32"/>
        </w:rPr>
        <w:t>万元，主要原因是社会保障和就业任务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收入降低</w:t>
      </w:r>
      <w:r>
        <w:rPr>
          <w:rFonts w:hint="eastAsia" w:ascii="仿宋_GB2312" w:hAnsi="仿宋" w:eastAsia="仿宋_GB2312" w:cs="仿宋"/>
          <w:sz w:val="32"/>
          <w:szCs w:val="32"/>
        </w:rPr>
        <w:t>；2020年本部门财政拨款支出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3240</w:t>
      </w:r>
      <w:r>
        <w:rPr>
          <w:rFonts w:hint="eastAsia" w:ascii="仿宋_GB2312" w:hAnsi="仿宋" w:eastAsia="仿宋_GB2312" w:cs="仿宋"/>
          <w:sz w:val="32"/>
          <w:szCs w:val="32"/>
        </w:rPr>
        <w:t>万元，其中一般公共预算拨款支出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878.1</w:t>
      </w:r>
      <w:r>
        <w:rPr>
          <w:rFonts w:hint="eastAsia" w:ascii="仿宋_GB2312" w:hAnsi="仿宋" w:eastAsia="仿宋_GB2312" w:cs="仿宋"/>
          <w:sz w:val="32"/>
          <w:szCs w:val="32"/>
        </w:rPr>
        <w:t>万元、社会保障和就业支出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166.64</w:t>
      </w:r>
      <w:r>
        <w:rPr>
          <w:rFonts w:hint="eastAsia" w:ascii="仿宋_GB2312" w:hAnsi="仿宋" w:eastAsia="仿宋_GB2312" w:cs="仿宋"/>
          <w:sz w:val="32"/>
          <w:szCs w:val="32"/>
        </w:rPr>
        <w:t>万元、城乡社区支出2130.26万元，2020年本部门财政拨款支出较上年减少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248.8</w:t>
      </w:r>
      <w:r>
        <w:rPr>
          <w:rFonts w:hint="eastAsia" w:ascii="仿宋_GB2312" w:hAnsi="仿宋" w:eastAsia="仿宋_GB2312" w:cs="仿宋"/>
          <w:sz w:val="32"/>
          <w:szCs w:val="32"/>
        </w:rPr>
        <w:t>万元，主要原因是社会保障和就业任务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支出降低</w:t>
      </w:r>
      <w:r>
        <w:rPr>
          <w:rFonts w:hint="eastAsia" w:ascii="仿宋_GB2312" w:hAnsi="仿宋" w:eastAsia="仿宋_GB2312" w:cs="仿宋"/>
          <w:sz w:val="32"/>
          <w:szCs w:val="32"/>
        </w:rPr>
        <w:t>。</w:t>
      </w:r>
    </w:p>
    <w:p>
      <w:pPr>
        <w:spacing w:line="560" w:lineRule="exact"/>
        <w:ind w:firstLine="643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（三）一般公共预算拨款支出明细情况。</w:t>
      </w:r>
    </w:p>
    <w:p>
      <w:pPr>
        <w:spacing w:line="560" w:lineRule="exact"/>
        <w:ind w:firstLine="643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1.</w:t>
      </w:r>
      <w:r>
        <w:rPr>
          <w:rFonts w:hint="eastAsia" w:ascii="仿宋_GB2312" w:hAnsi="仿宋" w:eastAsia="仿宋_GB2312" w:cs="仿宋"/>
          <w:sz w:val="32"/>
          <w:szCs w:val="32"/>
        </w:rPr>
        <w:t>一般公共预算当年拨款规模变化情况。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2020年本部门当年一般公共预算拨款支出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3240</w:t>
      </w:r>
      <w:r>
        <w:rPr>
          <w:rFonts w:hint="eastAsia" w:ascii="仿宋_GB2312" w:hAnsi="仿宋" w:eastAsia="仿宋_GB2312" w:cs="仿宋"/>
          <w:sz w:val="32"/>
          <w:szCs w:val="32"/>
        </w:rPr>
        <w:t>万元，2020年本部门财政拨款收入较上年减少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23.46</w:t>
      </w:r>
      <w:r>
        <w:rPr>
          <w:rFonts w:hint="eastAsia" w:ascii="仿宋_GB2312" w:hAnsi="仿宋" w:eastAsia="仿宋_GB2312" w:cs="仿宋"/>
          <w:sz w:val="32"/>
          <w:szCs w:val="32"/>
        </w:rPr>
        <w:t>万元，主要原因是社会保障和就业任务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收入降低</w:t>
      </w:r>
      <w:r>
        <w:rPr>
          <w:rFonts w:hint="eastAsia" w:ascii="仿宋_GB2312" w:hAnsi="仿宋" w:eastAsia="仿宋_GB2312" w:cs="仿宋"/>
          <w:sz w:val="32"/>
          <w:szCs w:val="32"/>
        </w:rPr>
        <w:t>。</w:t>
      </w:r>
    </w:p>
    <w:p>
      <w:pPr>
        <w:spacing w:line="560" w:lineRule="exact"/>
        <w:ind w:firstLine="643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2.</w:t>
      </w:r>
      <w:r>
        <w:rPr>
          <w:rFonts w:hint="eastAsia" w:ascii="仿宋_GB2312" w:hAnsi="仿宋" w:eastAsia="仿宋_GB2312" w:cs="仿宋"/>
          <w:sz w:val="32"/>
          <w:szCs w:val="32"/>
        </w:rPr>
        <w:t>支出按功能科目分类的明细情况。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本部门2020年当年一般公共预算支出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3240</w:t>
      </w:r>
      <w:r>
        <w:rPr>
          <w:rFonts w:hint="eastAsia" w:ascii="仿宋_GB2312" w:hAnsi="仿宋" w:eastAsia="仿宋_GB2312" w:cs="仿宋"/>
          <w:sz w:val="32"/>
          <w:szCs w:val="32"/>
        </w:rPr>
        <w:t>万元，其中：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（1）行政运行（2010601）697.92万元，较上年增加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75.05</w:t>
      </w:r>
      <w:r>
        <w:rPr>
          <w:rFonts w:hint="eastAsia" w:ascii="仿宋_GB2312" w:hAnsi="仿宋" w:eastAsia="仿宋_GB2312" w:cs="仿宋"/>
          <w:sz w:val="32"/>
          <w:szCs w:val="32"/>
        </w:rPr>
        <w:t>万元，原因是主要原因是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项目</w:t>
      </w:r>
      <w:r>
        <w:rPr>
          <w:rFonts w:hint="eastAsia" w:ascii="仿宋_GB2312" w:hAnsi="仿宋" w:eastAsia="仿宋_GB2312" w:cs="仿宋"/>
          <w:sz w:val="32"/>
          <w:szCs w:val="32"/>
        </w:rPr>
        <w:t>经费支出增加；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（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）一般行政管理事务（2010602）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180.17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万元，较上年增加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63.05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万元，原因是劳司人员经费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增加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。</w:t>
      </w:r>
    </w:p>
    <w:p>
      <w:pPr>
        <w:spacing w:line="560" w:lineRule="exact"/>
        <w:ind w:firstLine="643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3.</w:t>
      </w:r>
      <w:r>
        <w:rPr>
          <w:rFonts w:hint="eastAsia" w:ascii="仿宋_GB2312" w:hAnsi="仿宋" w:eastAsia="仿宋_GB2312" w:cs="仿宋"/>
          <w:sz w:val="32"/>
          <w:szCs w:val="32"/>
        </w:rPr>
        <w:t>支出按经济科目分类的明细情况。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（1）2020年本部门当年一般公共预算支出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3240</w:t>
      </w:r>
      <w:r>
        <w:rPr>
          <w:rFonts w:hint="eastAsia" w:ascii="仿宋_GB2312" w:hAnsi="仿宋" w:eastAsia="仿宋_GB2312" w:cs="仿宋"/>
          <w:sz w:val="32"/>
          <w:szCs w:val="32"/>
        </w:rPr>
        <w:t>万元，其中：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工资福利支出（301）966.59万元，较上年减少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267.89</w:t>
      </w:r>
      <w:r>
        <w:rPr>
          <w:rFonts w:hint="eastAsia" w:ascii="仿宋_GB2312" w:hAnsi="仿宋" w:eastAsia="仿宋_GB2312" w:cs="仿宋"/>
          <w:sz w:val="32"/>
          <w:szCs w:val="32"/>
        </w:rPr>
        <w:t>万元，原因是其他工资福利支出减少；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商品和服务支出（302）2264.9万元，较上年增加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245.39</w:t>
      </w:r>
      <w:r>
        <w:rPr>
          <w:rFonts w:hint="eastAsia" w:ascii="仿宋_GB2312" w:hAnsi="仿宋" w:eastAsia="仿宋_GB2312" w:cs="仿宋"/>
          <w:sz w:val="32"/>
          <w:szCs w:val="32"/>
        </w:rPr>
        <w:t>万元，原因是劳务费增加；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对个人和家庭的补助支出（303）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8.49</w:t>
      </w:r>
      <w:r>
        <w:rPr>
          <w:rFonts w:hint="eastAsia" w:ascii="仿宋_GB2312" w:hAnsi="仿宋" w:eastAsia="仿宋_GB2312" w:cs="仿宋"/>
          <w:sz w:val="32"/>
          <w:szCs w:val="32"/>
        </w:rPr>
        <w:t>万元，较上年减少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162.32</w:t>
      </w:r>
      <w:r>
        <w:rPr>
          <w:rFonts w:hint="eastAsia" w:ascii="仿宋_GB2312" w:hAnsi="仿宋" w:eastAsia="仿宋_GB2312" w:cs="仿宋"/>
          <w:sz w:val="32"/>
          <w:szCs w:val="32"/>
        </w:rPr>
        <w:t>万元，原因是退休人员生活补贴由社保发放。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（2）2020年本部门当年一般公共预算支出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3240</w:t>
      </w:r>
      <w:r>
        <w:rPr>
          <w:rFonts w:hint="eastAsia" w:ascii="仿宋_GB2312" w:hAnsi="仿宋" w:eastAsia="仿宋_GB2312" w:cs="仿宋"/>
          <w:sz w:val="32"/>
          <w:szCs w:val="32"/>
        </w:rPr>
        <w:t>万元，其中：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机关工资福利支出（501）966.59万元，较上年减少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267.89</w:t>
      </w:r>
      <w:r>
        <w:rPr>
          <w:rFonts w:hint="eastAsia" w:ascii="仿宋_GB2312" w:hAnsi="仿宋" w:eastAsia="仿宋_GB2312" w:cs="仿宋"/>
          <w:sz w:val="32"/>
          <w:szCs w:val="32"/>
        </w:rPr>
        <w:t>万元，原因是其他工资福利支出减少；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机关商品和服务支出（502）2264.9万元，较上年增加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245.39</w:t>
      </w:r>
      <w:r>
        <w:rPr>
          <w:rFonts w:hint="eastAsia" w:ascii="仿宋_GB2312" w:hAnsi="仿宋" w:eastAsia="仿宋_GB2312" w:cs="仿宋"/>
          <w:sz w:val="32"/>
          <w:szCs w:val="32"/>
        </w:rPr>
        <w:t>万元，原因是劳务费增加；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对个人和家庭的补助支出（303）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8.49</w:t>
      </w:r>
      <w:r>
        <w:rPr>
          <w:rFonts w:hint="eastAsia" w:ascii="仿宋_GB2312" w:hAnsi="仿宋" w:eastAsia="仿宋_GB2312" w:cs="仿宋"/>
          <w:sz w:val="32"/>
          <w:szCs w:val="32"/>
        </w:rPr>
        <w:t>万元，较上年减少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162.32</w:t>
      </w:r>
      <w:r>
        <w:rPr>
          <w:rFonts w:hint="eastAsia" w:ascii="仿宋_GB2312" w:hAnsi="仿宋" w:eastAsia="仿宋_GB2312" w:cs="仿宋"/>
          <w:sz w:val="32"/>
          <w:szCs w:val="32"/>
        </w:rPr>
        <w:t>万元，原因是退休人员生活补贴由社保发放。</w:t>
      </w:r>
    </w:p>
    <w:p>
      <w:pPr>
        <w:spacing w:line="560" w:lineRule="exact"/>
        <w:ind w:firstLine="640"/>
        <w:rPr>
          <w:rFonts w:hint="eastAsia" w:ascii="仿宋_GB2312" w:hAnsi="仿宋" w:eastAsia="仿宋_GB2312" w:cs="仿宋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4.</w:t>
      </w:r>
      <w:r>
        <w:rPr>
          <w:rFonts w:hint="eastAsia" w:ascii="仿宋_GB2312" w:hAnsi="仿宋" w:eastAsia="仿宋_GB2312" w:cs="仿宋"/>
          <w:sz w:val="32"/>
          <w:szCs w:val="32"/>
        </w:rPr>
        <w:t>本部门2019年结转的一般公共预算拨款支出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0</w:t>
      </w:r>
      <w:r>
        <w:rPr>
          <w:rFonts w:hint="eastAsia" w:ascii="仿宋_GB2312" w:hAnsi="仿宋" w:eastAsia="仿宋_GB2312" w:cs="仿宋"/>
          <w:sz w:val="32"/>
          <w:szCs w:val="32"/>
        </w:rPr>
        <w:t>万元编入2020年部门综合预算执行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。</w:t>
      </w:r>
    </w:p>
    <w:p>
      <w:pPr>
        <w:spacing w:line="560" w:lineRule="exact"/>
        <w:ind w:firstLine="643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（四）政府性基金预算支出情况。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本部门无当年政府性基金预算收支，并已公开空表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。</w:t>
      </w:r>
    </w:p>
    <w:p>
      <w:pPr>
        <w:spacing w:line="560" w:lineRule="exact"/>
        <w:ind w:firstLine="643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（五）国有资本经营预算拨款收支情况。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本部门无当年国有资本经营预算拨款收支，并在财政拨款收支总体情况表中列示。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本部门无2019年结转的国有资本经营预算拨款支出。</w:t>
      </w:r>
    </w:p>
    <w:p>
      <w:pPr>
        <w:spacing w:line="560" w:lineRule="exact"/>
        <w:ind w:firstLine="643"/>
        <w:jc w:val="center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第三部分  其他说明情况</w:t>
      </w:r>
    </w:p>
    <w:p>
      <w:pPr>
        <w:spacing w:line="560" w:lineRule="exact"/>
        <w:ind w:firstLine="643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六、部门预算“三公”经费等预算情况说明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2020年本部门当年一般公共预算“三公”经费预算支出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6.92</w:t>
      </w:r>
      <w:bookmarkStart w:id="0" w:name="_GoBack"/>
      <w:bookmarkEnd w:id="0"/>
      <w:r>
        <w:rPr>
          <w:rFonts w:hint="eastAsia" w:ascii="仿宋_GB2312" w:hAnsi="仿宋" w:eastAsia="仿宋_GB2312" w:cs="仿宋"/>
          <w:sz w:val="32"/>
          <w:szCs w:val="32"/>
        </w:rPr>
        <w:t>万元，较上年减少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0.22</w:t>
      </w:r>
      <w:r>
        <w:rPr>
          <w:rFonts w:hint="eastAsia" w:ascii="仿宋_GB2312" w:hAnsi="仿宋" w:eastAsia="仿宋_GB2312" w:cs="仿宋"/>
          <w:sz w:val="32"/>
          <w:szCs w:val="32"/>
        </w:rPr>
        <w:t>万元（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仿宋"/>
          <w:sz w:val="32"/>
          <w:szCs w:val="32"/>
        </w:rPr>
        <w:t>%），减少的主要原因是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会议费减少</w:t>
      </w:r>
      <w:r>
        <w:rPr>
          <w:rFonts w:hint="eastAsia" w:ascii="仿宋_GB2312" w:hAnsi="仿宋" w:eastAsia="仿宋_GB2312" w:cs="仿宋"/>
          <w:sz w:val="32"/>
          <w:szCs w:val="32"/>
        </w:rPr>
        <w:t>。其中：因公出国（境）经费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0</w:t>
      </w:r>
      <w:r>
        <w:rPr>
          <w:rFonts w:hint="eastAsia" w:ascii="仿宋_GB2312" w:hAnsi="仿宋" w:eastAsia="仿宋_GB2312" w:cs="仿宋"/>
          <w:sz w:val="32"/>
          <w:szCs w:val="32"/>
        </w:rPr>
        <w:t>万元；公务接待费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0</w:t>
      </w:r>
      <w:r>
        <w:rPr>
          <w:rFonts w:hint="eastAsia" w:ascii="仿宋_GB2312" w:hAnsi="仿宋" w:eastAsia="仿宋_GB2312" w:cs="仿宋"/>
          <w:sz w:val="32"/>
          <w:szCs w:val="32"/>
        </w:rPr>
        <w:t>万元；公务用车运行费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 w:cs="仿宋"/>
          <w:sz w:val="32"/>
          <w:szCs w:val="32"/>
        </w:rPr>
        <w:t>万元，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与上年持平;主要原因是培训费减少</w:t>
      </w:r>
      <w:r>
        <w:rPr>
          <w:rFonts w:hint="eastAsia" w:ascii="仿宋_GB2312" w:hAnsi="仿宋" w:eastAsia="仿宋_GB2312" w:cs="仿宋"/>
          <w:sz w:val="32"/>
          <w:szCs w:val="32"/>
        </w:rPr>
        <w:t>。</w:t>
      </w:r>
    </w:p>
    <w:p>
      <w:pPr>
        <w:spacing w:line="560" w:lineRule="exact"/>
        <w:ind w:firstLine="640"/>
        <w:rPr>
          <w:rFonts w:hint="eastAsia" w:ascii="仿宋_GB2312" w:hAnsi="仿宋" w:eastAsia="仿宋_GB2312" w:cs="仿宋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>本部门无2019年结转的财政拨款‘三公’经费支出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。</w:t>
      </w:r>
    </w:p>
    <w:p>
      <w:pPr>
        <w:spacing w:line="560" w:lineRule="exact"/>
        <w:ind w:firstLine="643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七、部门国有资产占有使用及资产购置情况说明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本部门无2019年结转的财政拨款支出资产购置。</w:t>
      </w:r>
    </w:p>
    <w:p>
      <w:pPr>
        <w:spacing w:line="560" w:lineRule="exact"/>
        <w:ind w:firstLine="643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八、部门政府采购情况说明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2020年当年本部门政府采购预算共1634.45万元，其中政府采购服务类预算1634.45万元。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本部门无2019年结转的政府采购资金支出。</w:t>
      </w:r>
    </w:p>
    <w:p>
      <w:pPr>
        <w:spacing w:line="560" w:lineRule="exact"/>
        <w:ind w:firstLine="643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九、部门预算绩效目标说明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2020年本部门绩效目标管理全覆盖，涉及当年一般公共预算拨款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3240</w:t>
      </w:r>
      <w:r>
        <w:rPr>
          <w:rFonts w:hint="eastAsia" w:ascii="仿宋_GB2312" w:hAnsi="仿宋" w:eastAsia="仿宋_GB2312" w:cs="仿宋"/>
          <w:sz w:val="32"/>
          <w:szCs w:val="32"/>
        </w:rPr>
        <w:t>万元。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本部门无2019年结转的财政拨款支出涉及的绩效目标管理。</w:t>
      </w:r>
    </w:p>
    <w:p>
      <w:pPr>
        <w:spacing w:line="560" w:lineRule="exact"/>
        <w:ind w:firstLine="643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十、机关运行经费安排说明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本部门当年机关运行经费预算安排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90.97</w:t>
      </w:r>
      <w:r>
        <w:rPr>
          <w:rFonts w:hint="eastAsia" w:ascii="仿宋_GB2312" w:hAnsi="仿宋" w:eastAsia="仿宋_GB2312" w:cs="仿宋"/>
          <w:sz w:val="32"/>
          <w:szCs w:val="32"/>
        </w:rPr>
        <w:t>万元，较上年增加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8.86</w:t>
      </w:r>
      <w:r>
        <w:rPr>
          <w:rFonts w:hint="eastAsia" w:ascii="仿宋_GB2312" w:hAnsi="仿宋" w:eastAsia="仿宋_GB2312" w:cs="仿宋"/>
          <w:sz w:val="32"/>
          <w:szCs w:val="32"/>
        </w:rPr>
        <w:t>万元，主要原因是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商品和服务支出增加</w:t>
      </w:r>
      <w:r>
        <w:rPr>
          <w:rFonts w:hint="eastAsia" w:ascii="仿宋_GB2312" w:hAnsi="仿宋" w:eastAsia="仿宋_GB2312" w:cs="仿宋"/>
          <w:sz w:val="32"/>
          <w:szCs w:val="32"/>
        </w:rPr>
        <w:t>。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本部门无2019年结转的财政拨款机关运行经费支出。</w:t>
      </w:r>
    </w:p>
    <w:p>
      <w:pPr>
        <w:spacing w:line="560" w:lineRule="exact"/>
        <w:ind w:firstLine="643"/>
        <w:rPr>
          <w:rFonts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十一、专业名词解释</w:t>
      </w:r>
    </w:p>
    <w:p>
      <w:pPr>
        <w:spacing w:line="560" w:lineRule="exact"/>
        <w:ind w:firstLine="64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1、机关运行经费：指各部门的公用经费，包括办公及印刷费、邮电费、差旅费、会议费、福利费、日常维修费、专用材料费及一般设备购置费、办公用房水电费、办公用房取暖费、办公用房物业管理费、公务用车运行维护费以及其他费用。</w:t>
      </w:r>
    </w:p>
    <w:p>
      <w:pPr>
        <w:spacing w:line="560" w:lineRule="exact"/>
        <w:ind w:firstLine="64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2.基本支出：指行政事业单位为保障其机构正常运转、完成日常工作任务而编制的年度基本支出计划，内容包括人员经费和日常公用经费两部分。</w:t>
      </w:r>
    </w:p>
    <w:p>
      <w:pPr>
        <w:spacing w:line="560" w:lineRule="exact"/>
        <w:ind w:firstLine="64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3.项目支出：指行政事业单位为完成特定的工作任务或事业发展目标，在基本的预算支出以外，财政预算专款安排的支出。</w:t>
      </w:r>
    </w:p>
    <w:p>
      <w:pPr>
        <w:spacing w:line="560" w:lineRule="exact"/>
        <w:ind w:firstLine="64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4.三公经费：是指财政拨款支出安排的出国（境）费、车辆购置及运行费、公务接待费三项经费。</w:t>
      </w:r>
    </w:p>
    <w:p>
      <w:pPr>
        <w:spacing w:line="560" w:lineRule="exact"/>
        <w:ind w:firstLine="643"/>
        <w:jc w:val="center"/>
        <w:rPr>
          <w:rFonts w:hint="eastAsia"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第四部分  公开报表</w:t>
      </w:r>
    </w:p>
    <w:p>
      <w:pPr>
        <w:spacing w:line="56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（见附件内容）</w:t>
      </w:r>
      <w:r>
        <w:rPr>
          <w:rFonts w:hint="eastAsia" w:ascii="仿宋_GB2312" w:hAnsi="仿宋" w:eastAsia="仿宋_GB2312" w:cs="仿宋"/>
          <w:sz w:val="32"/>
          <w:szCs w:val="32"/>
        </w:rPr>
        <w:tab/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800" w:lineRule="exact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69587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jc w:val="right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69591"/>
      <w:docPartObj>
        <w:docPartGallery w:val="autotext"/>
      </w:docPartObj>
    </w:sdtPr>
    <w:sdtContent>
      <w:p>
        <w:pPr>
          <w:pStyle w:val="3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822"/>
    <w:rsid w:val="00007231"/>
    <w:rsid w:val="00065A1B"/>
    <w:rsid w:val="00077E92"/>
    <w:rsid w:val="00091B1D"/>
    <w:rsid w:val="000A06E9"/>
    <w:rsid w:val="000A4602"/>
    <w:rsid w:val="00114B3C"/>
    <w:rsid w:val="00183822"/>
    <w:rsid w:val="001E6127"/>
    <w:rsid w:val="002123F8"/>
    <w:rsid w:val="002E6755"/>
    <w:rsid w:val="003076F0"/>
    <w:rsid w:val="003265DC"/>
    <w:rsid w:val="003836F8"/>
    <w:rsid w:val="003A6071"/>
    <w:rsid w:val="003A702F"/>
    <w:rsid w:val="003B1560"/>
    <w:rsid w:val="003E4574"/>
    <w:rsid w:val="003E76B9"/>
    <w:rsid w:val="00407A66"/>
    <w:rsid w:val="00472E14"/>
    <w:rsid w:val="00476580"/>
    <w:rsid w:val="004915D5"/>
    <w:rsid w:val="004D40B0"/>
    <w:rsid w:val="004F534C"/>
    <w:rsid w:val="0050337E"/>
    <w:rsid w:val="00521AAF"/>
    <w:rsid w:val="00523FAC"/>
    <w:rsid w:val="00535180"/>
    <w:rsid w:val="00543C43"/>
    <w:rsid w:val="00564D3D"/>
    <w:rsid w:val="006179E8"/>
    <w:rsid w:val="00627110"/>
    <w:rsid w:val="00647149"/>
    <w:rsid w:val="00666A1B"/>
    <w:rsid w:val="00667369"/>
    <w:rsid w:val="00684944"/>
    <w:rsid w:val="00690BD3"/>
    <w:rsid w:val="007061BA"/>
    <w:rsid w:val="007621B7"/>
    <w:rsid w:val="007B074E"/>
    <w:rsid w:val="007D3B96"/>
    <w:rsid w:val="008107BA"/>
    <w:rsid w:val="0084651C"/>
    <w:rsid w:val="00861853"/>
    <w:rsid w:val="00873B0E"/>
    <w:rsid w:val="008D1F61"/>
    <w:rsid w:val="008E4537"/>
    <w:rsid w:val="00904700"/>
    <w:rsid w:val="00974D32"/>
    <w:rsid w:val="009F0A11"/>
    <w:rsid w:val="00A2404D"/>
    <w:rsid w:val="00A62414"/>
    <w:rsid w:val="00B00CB7"/>
    <w:rsid w:val="00B57673"/>
    <w:rsid w:val="00BB4A32"/>
    <w:rsid w:val="00BE26AB"/>
    <w:rsid w:val="00C43C67"/>
    <w:rsid w:val="00C52DD2"/>
    <w:rsid w:val="00D00BFC"/>
    <w:rsid w:val="00D02DAA"/>
    <w:rsid w:val="00D358D4"/>
    <w:rsid w:val="00DB7AF0"/>
    <w:rsid w:val="00DC4473"/>
    <w:rsid w:val="00DE55A2"/>
    <w:rsid w:val="00E03273"/>
    <w:rsid w:val="00E916FB"/>
    <w:rsid w:val="00EE1A2F"/>
    <w:rsid w:val="00F4668C"/>
    <w:rsid w:val="00F77921"/>
    <w:rsid w:val="00FA6567"/>
    <w:rsid w:val="03992CF6"/>
    <w:rsid w:val="13272789"/>
    <w:rsid w:val="20D5751A"/>
    <w:rsid w:val="3497673E"/>
    <w:rsid w:val="3913042E"/>
    <w:rsid w:val="3A441FBE"/>
    <w:rsid w:val="3EE93D4D"/>
    <w:rsid w:val="4E140D6F"/>
    <w:rsid w:val="521D2BF4"/>
    <w:rsid w:val="594916B4"/>
    <w:rsid w:val="66A05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3"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1.emf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D6598ED-12F0-4D48-8A5B-38BA789B862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SysCeo.com</Company>
  <Pages>44</Pages>
  <Words>2705</Words>
  <Characters>15419</Characters>
  <Lines>128</Lines>
  <Paragraphs>36</Paragraphs>
  <TotalTime>6</TotalTime>
  <ScaleCrop>false</ScaleCrop>
  <LinksUpToDate>false</LinksUpToDate>
  <CharactersWithSpaces>18088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2020-04-22T06:24:00Z</dcterms:created>
  <dc:creator>Microsoft</dc:creator>
  <cp:lastModifiedBy>sa</cp:lastModifiedBy>
  <cp:lastPrinted>2020-06-18T08:12:00Z</cp:lastPrinted>
  <dcterms:modified xsi:type="dcterms:W3CDTF">2021-05-31T06:10:18Z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42996BC1032245A2AC6E63CEA71B7F01</vt:lpwstr>
  </property>
</Properties>
</file>