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499" w:leftChars="0" w:right="0" w:firstLine="0" w:firstLineChars="0"/>
        <w:rPr>
          <w:rFonts w:hint="eastAsia" w:ascii="宋体" w:hAnsi="宋体" w:eastAsia="宋体" w:cs="宋体"/>
          <w:i w:val="0"/>
          <w:iCs w:val="0"/>
          <w:caps w:val="0"/>
          <w:color w:val="333333"/>
          <w:spacing w:val="0"/>
          <w:sz w:val="30"/>
          <w:szCs w:val="30"/>
          <w:shd w:val="clear" w:fill="FFFFFF"/>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 </w:t>
      </w:r>
      <w:r>
        <w:rPr>
          <w:rFonts w:hint="eastAsia" w:ascii="宋体" w:hAnsi="宋体" w:eastAsia="宋体" w:cs="宋体"/>
          <w:i w:val="0"/>
          <w:iCs w:val="0"/>
          <w:caps w:val="0"/>
          <w:color w:val="333333"/>
          <w:spacing w:val="0"/>
          <w:sz w:val="30"/>
          <w:szCs w:val="30"/>
          <w:shd w:val="clear" w:fill="FFFFFF"/>
        </w:rPr>
        <w:t>部门主要职责及机构设置</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499" w:leftChars="0" w:right="0" w:rightChars="0"/>
        <w:rPr>
          <w:rFonts w:hint="eastAsia" w:ascii="宋体" w:hAnsi="宋体" w:eastAsia="宋体" w:cs="宋体"/>
          <w:i w:val="0"/>
          <w:iCs w:val="0"/>
          <w:caps w:val="0"/>
          <w:color w:val="333333"/>
          <w:spacing w:val="0"/>
          <w:sz w:val="30"/>
          <w:szCs w:val="30"/>
          <w:shd w:val="clear" w:fill="FFFFFF"/>
        </w:rPr>
      </w:pPr>
      <w:r>
        <w:rPr>
          <w:rFonts w:hint="eastAsia" w:ascii="宋体" w:hAnsi="宋体" w:eastAsia="宋体" w:cs="宋体"/>
          <w:i w:val="0"/>
          <w:iCs w:val="0"/>
          <w:caps w:val="0"/>
          <w:color w:val="333333"/>
          <w:spacing w:val="0"/>
          <w:sz w:val="30"/>
          <w:szCs w:val="30"/>
          <w:shd w:val="clear" w:fill="FFFFFF"/>
        </w:rPr>
        <w:t>（一）主要职责：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1、贯彻执行有关旅游业的法律法规和方针政策，起草本区旅游工作的规范性文件，并组织实施。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2、统筹协调全区旅游业发展，编制全区旅游发展规划并组织实施；拟订全区旅游市场宣传促销计划，组织全区旅游整体形象的对外宣传和重大推广活动。</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3、组织全区旅游资源的普查工作；指导重点旅游区域、旅游目的地和旅游线路的规划开发，引导休闲度假;负责旅游旅游节庆、展会活动的策划和组织实施；协调和指导假日旅游和红色旅游工作。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4、组织指导旅游业同相关产业融合发展；推进旅游体制机制改革；研究制定推进全区旅游产业结构调整的政策措施。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5、承担规范全区旅游市场秩序、监督管理服务质量、维护旅游消费者和经营者合法权益的责任。规范全区旅游企业和从业人员的经营和服务行为；组织实施全区旅游设施、旅游服务和旅游产品等方面的服务标准；负责全区旅游安全的综合协调和监督管理，协调开展旅游应急救援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6、负责对旅行社门市部备案和分支机构的监督管理。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7、负责全区旅游公共服务和信息化建设；负责监测全区旅游经济运行、旅游统计和行业信息发布工作；指导全区旅游行业精神文明建设和诚信体系建设。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8、指导区旅游协会等行业组织的业务工作，开展旅游项目招商引资工作。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9、负责对省、市、区综合考核、专业考核指标日常监测、统计和报送，全面完成考核任务。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10、承办区政府交办的其他事项。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1000" w:right="0" w:hanging="360"/>
        <w:rPr>
          <w:rFonts w:hint="eastAsia" w:ascii="宋体" w:hAnsi="宋体" w:eastAsia="宋体" w:cs="宋体"/>
          <w:i w:val="0"/>
          <w:iCs w:val="0"/>
          <w:caps w:val="0"/>
          <w:color w:val="333333"/>
          <w:spacing w:val="0"/>
          <w:sz w:val="30"/>
          <w:szCs w:val="30"/>
          <w:shd w:val="clear" w:fill="FFFFFF"/>
        </w:rPr>
      </w:pPr>
      <w:r>
        <w:rPr>
          <w:rFonts w:hint="eastAsia" w:ascii="宋体" w:hAnsi="宋体" w:eastAsia="宋体" w:cs="宋体"/>
          <w:i w:val="0"/>
          <w:iCs w:val="0"/>
          <w:caps w:val="0"/>
          <w:color w:val="333333"/>
          <w:spacing w:val="0"/>
          <w:sz w:val="30"/>
          <w:szCs w:val="30"/>
          <w:shd w:val="clear" w:fill="FFFFFF"/>
        </w:rPr>
        <w:t>（二）机构设置：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7"/>
        <w:jc w:val="left"/>
        <w:rPr>
          <w:rFonts w:hint="eastAsia" w:ascii="宋体" w:hAnsi="宋体" w:eastAsia="宋体" w:cs="宋体"/>
          <w:i w:val="0"/>
          <w:iCs w:val="0"/>
          <w:caps w:val="0"/>
          <w:color w:val="2B2B2B"/>
          <w:spacing w:val="0"/>
          <w:sz w:val="28"/>
          <w:szCs w:val="28"/>
        </w:rPr>
      </w:pPr>
      <w:r>
        <w:rPr>
          <w:rFonts w:hint="eastAsia" w:ascii="宋体" w:hAnsi="宋体" w:eastAsia="宋体" w:cs="宋体"/>
          <w:b/>
          <w:bCs/>
          <w:i w:val="0"/>
          <w:iCs w:val="0"/>
          <w:caps w:val="0"/>
          <w:color w:val="2B2B2B"/>
          <w:spacing w:val="0"/>
          <w:sz w:val="28"/>
          <w:szCs w:val="28"/>
          <w:shd w:val="clear" w:fill="FFFFFF"/>
          <w:lang w:val="en-US" w:eastAsia="zh-CN"/>
        </w:rPr>
        <w:t>1、</w:t>
      </w:r>
      <w:r>
        <w:rPr>
          <w:rFonts w:hint="eastAsia" w:ascii="宋体" w:hAnsi="宋体" w:eastAsia="宋体" w:cs="宋体"/>
          <w:b/>
          <w:bCs/>
          <w:i w:val="0"/>
          <w:iCs w:val="0"/>
          <w:caps w:val="0"/>
          <w:color w:val="2B2B2B"/>
          <w:spacing w:val="0"/>
          <w:sz w:val="28"/>
          <w:szCs w:val="28"/>
          <w:shd w:val="clear" w:fill="FFFFFF"/>
        </w:rPr>
        <w:t>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主要职责是：负责各类文件信息的上传下达；负责机关决定事项的督办；负责人大建议议案和政协提案的办理；负责各项规章制度的制定与监督执行；负责机关和所属单位财务、国有资产管理和后勤服务等；负责机关和所属单位的党组织建设、党风廉政、机构编制、干部人事、劳动工资、培训、离退休人员服务管理等工作；负责组织旅游形象宣传工作；完成领导交办的其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7"/>
        <w:jc w:val="left"/>
        <w:rPr>
          <w:rFonts w:hint="eastAsia" w:ascii="宋体" w:hAnsi="宋体" w:eastAsia="宋体" w:cs="宋体"/>
          <w:i w:val="0"/>
          <w:iCs w:val="0"/>
          <w:caps w:val="0"/>
          <w:color w:val="2B2B2B"/>
          <w:spacing w:val="0"/>
          <w:sz w:val="28"/>
          <w:szCs w:val="28"/>
        </w:rPr>
      </w:pPr>
      <w:r>
        <w:rPr>
          <w:rFonts w:hint="eastAsia" w:ascii="宋体" w:hAnsi="宋体" w:eastAsia="宋体" w:cs="宋体"/>
          <w:b/>
          <w:bCs/>
          <w:i w:val="0"/>
          <w:iCs w:val="0"/>
          <w:caps w:val="0"/>
          <w:color w:val="2B2B2B"/>
          <w:spacing w:val="0"/>
          <w:sz w:val="28"/>
          <w:szCs w:val="28"/>
          <w:shd w:val="clear" w:fill="FFFFFF"/>
          <w:lang w:val="en-US" w:eastAsia="zh-CN"/>
        </w:rPr>
        <w:t>2、</w:t>
      </w:r>
      <w:r>
        <w:rPr>
          <w:rFonts w:hint="eastAsia" w:ascii="宋体" w:hAnsi="宋体" w:eastAsia="宋体" w:cs="宋体"/>
          <w:b/>
          <w:bCs/>
          <w:i w:val="0"/>
          <w:iCs w:val="0"/>
          <w:caps w:val="0"/>
          <w:color w:val="2B2B2B"/>
          <w:spacing w:val="0"/>
          <w:sz w:val="28"/>
          <w:szCs w:val="28"/>
          <w:shd w:val="clear" w:fill="FFFFFF"/>
        </w:rPr>
        <w:t>旅游发展与管理科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主要职责是：拟订本区旅游工作的规范性文件，并组织实施；指导区旅游协会等行业组织的业务工作，开展旅游项目招商引资工作；负责指导旅游线路、旅游产品的规划和开发建设；负责组织旅游单位及旅游景区的等级评定，参与旅游项目的评审工作；负责旅游行业统计和信息发布；负责辖区旅行社门市部备案和分支机构的监督管理；负责与国内外旅游机构合作与交流，并组织重大国际旅游促销及国际会展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二、2019年部门工作任务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lang w:eastAsia="zh-CN"/>
        </w:rPr>
        <w:t>（一）</w:t>
      </w:r>
      <w:r>
        <w:rPr>
          <w:rFonts w:hint="eastAsia" w:ascii="宋体" w:hAnsi="宋体" w:eastAsia="宋体" w:cs="宋体"/>
          <w:i w:val="0"/>
          <w:iCs w:val="0"/>
          <w:caps w:val="0"/>
          <w:color w:val="2B2B2B"/>
          <w:spacing w:val="0"/>
          <w:sz w:val="28"/>
          <w:szCs w:val="28"/>
          <w:shd w:val="clear" w:fill="FFFFFF"/>
        </w:rPr>
        <w:t>贯彻执行区委、区政府关于旅游业的法律法规和方针政策，并组织实施。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lang w:eastAsia="zh-CN"/>
        </w:rPr>
        <w:t>（二）</w:t>
      </w:r>
      <w:r>
        <w:rPr>
          <w:rFonts w:hint="eastAsia" w:ascii="宋体" w:hAnsi="宋体" w:eastAsia="宋体" w:cs="宋体"/>
          <w:i w:val="0"/>
          <w:iCs w:val="0"/>
          <w:caps w:val="0"/>
          <w:color w:val="2B2B2B"/>
          <w:spacing w:val="0"/>
          <w:sz w:val="28"/>
          <w:szCs w:val="28"/>
          <w:shd w:val="clear" w:fill="FFFFFF"/>
        </w:rPr>
        <w:t>统筹协调全区旅游业发展，组织全区旅游整体形象的对外宣传和重大推广活动。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lang w:eastAsia="zh-CN"/>
        </w:rPr>
        <w:t>（三）</w:t>
      </w:r>
      <w:r>
        <w:rPr>
          <w:rFonts w:hint="eastAsia" w:ascii="宋体" w:hAnsi="宋体" w:eastAsia="宋体" w:cs="宋体"/>
          <w:i w:val="0"/>
          <w:iCs w:val="0"/>
          <w:caps w:val="0"/>
          <w:color w:val="2B2B2B"/>
          <w:spacing w:val="0"/>
          <w:sz w:val="28"/>
          <w:szCs w:val="28"/>
          <w:shd w:val="clear" w:fill="FFFFFF"/>
        </w:rPr>
        <w:t>负责旅游旅游节庆、展会活动的策划和组织实施；协调和指导假日旅游和红色旅游工作。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lang w:eastAsia="zh-CN"/>
        </w:rPr>
        <w:t>（四）</w:t>
      </w:r>
      <w:r>
        <w:rPr>
          <w:rFonts w:hint="eastAsia" w:ascii="宋体" w:hAnsi="宋体" w:eastAsia="宋体" w:cs="宋体"/>
          <w:i w:val="0"/>
          <w:iCs w:val="0"/>
          <w:caps w:val="0"/>
          <w:color w:val="2B2B2B"/>
          <w:spacing w:val="0"/>
          <w:sz w:val="28"/>
          <w:szCs w:val="28"/>
          <w:shd w:val="clear" w:fill="FFFFFF"/>
        </w:rPr>
        <w:t>规范全区旅游市场秩序、监督管理服务质量、维护旅游消费者和经营者合法权益的责任。规范全区旅游企业和从业人员的经营和服务行为负责全区旅游安全的综合协调和监督管理，协调开展旅游应急救援工作。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lang w:eastAsia="zh-CN"/>
        </w:rPr>
        <w:t>（五）</w:t>
      </w:r>
      <w:r>
        <w:rPr>
          <w:rFonts w:hint="eastAsia" w:ascii="宋体" w:hAnsi="宋体" w:eastAsia="宋体" w:cs="宋体"/>
          <w:i w:val="0"/>
          <w:iCs w:val="0"/>
          <w:caps w:val="0"/>
          <w:color w:val="2B2B2B"/>
          <w:spacing w:val="0"/>
          <w:sz w:val="28"/>
          <w:szCs w:val="28"/>
          <w:shd w:val="clear" w:fill="FFFFFF"/>
        </w:rPr>
        <w:t>负责对旅行社门市部备案和分支机构的监督管理。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lang w:eastAsia="zh-CN"/>
        </w:rPr>
        <w:t>（六）</w:t>
      </w:r>
      <w:r>
        <w:rPr>
          <w:rFonts w:hint="eastAsia" w:ascii="宋体" w:hAnsi="宋体" w:eastAsia="宋体" w:cs="宋体"/>
          <w:i w:val="0"/>
          <w:iCs w:val="0"/>
          <w:caps w:val="0"/>
          <w:color w:val="2B2B2B"/>
          <w:spacing w:val="0"/>
          <w:sz w:val="28"/>
          <w:szCs w:val="28"/>
          <w:shd w:val="clear" w:fill="FFFFFF"/>
        </w:rPr>
        <w:t>负责全区旅游公共服务和信息化建设；负责监测全区旅游经济运行、旅游统计和行业信息发布工作；指导全区旅游行业精神文明建设和诚信体系建设。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7"/>
        <w:jc w:val="left"/>
        <w:rPr>
          <w:rFonts w:hint="eastAsia" w:ascii="宋体" w:hAnsi="宋体" w:eastAsia="宋体" w:cs="宋体"/>
          <w:b w:val="0"/>
          <w:bCs w:val="0"/>
          <w:i w:val="0"/>
          <w:iCs w:val="0"/>
          <w:caps w:val="0"/>
          <w:color w:val="2B2B2B"/>
          <w:spacing w:val="0"/>
          <w:sz w:val="30"/>
          <w:szCs w:val="30"/>
        </w:rPr>
      </w:pPr>
      <w:r>
        <w:rPr>
          <w:rFonts w:hint="eastAsia" w:ascii="宋体" w:hAnsi="宋体" w:eastAsia="宋体" w:cs="宋体"/>
          <w:b w:val="0"/>
          <w:bCs w:val="0"/>
          <w:i w:val="0"/>
          <w:iCs w:val="0"/>
          <w:caps w:val="0"/>
          <w:color w:val="2B2B2B"/>
          <w:spacing w:val="0"/>
          <w:sz w:val="30"/>
          <w:szCs w:val="30"/>
          <w:shd w:val="clear" w:fill="FFFFFF"/>
        </w:rPr>
        <w:t>三、部门预算单位构成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0" w:right="0" w:firstLine="64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1.本部门无所属基层预算单位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0" w:right="0" w:firstLine="64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2.单位性质：西安市莲湖区</w:t>
      </w:r>
      <w:r>
        <w:rPr>
          <w:rFonts w:hint="eastAsia" w:ascii="宋体" w:hAnsi="宋体" w:eastAsia="宋体" w:cs="宋体"/>
          <w:i w:val="0"/>
          <w:iCs w:val="0"/>
          <w:caps w:val="0"/>
          <w:color w:val="333333"/>
          <w:spacing w:val="0"/>
          <w:sz w:val="28"/>
          <w:szCs w:val="28"/>
          <w:shd w:val="clear" w:fill="FFFFFF"/>
          <w:lang w:eastAsia="zh-CN"/>
        </w:rPr>
        <w:t>旅游</w:t>
      </w:r>
      <w:r>
        <w:rPr>
          <w:rFonts w:hint="eastAsia" w:ascii="宋体" w:hAnsi="宋体" w:eastAsia="宋体" w:cs="宋体"/>
          <w:i w:val="0"/>
          <w:iCs w:val="0"/>
          <w:caps w:val="0"/>
          <w:color w:val="333333"/>
          <w:spacing w:val="0"/>
          <w:sz w:val="28"/>
          <w:szCs w:val="28"/>
          <w:shd w:val="clear" w:fill="FFFFFF"/>
        </w:rPr>
        <w:t>局属财政全额拨款的</w:t>
      </w:r>
      <w:r>
        <w:rPr>
          <w:rFonts w:hint="eastAsia" w:ascii="宋体" w:hAnsi="宋体" w:eastAsia="宋体" w:cs="宋体"/>
          <w:i w:val="0"/>
          <w:iCs w:val="0"/>
          <w:caps w:val="0"/>
          <w:color w:val="333333"/>
          <w:spacing w:val="0"/>
          <w:sz w:val="28"/>
          <w:szCs w:val="28"/>
          <w:shd w:val="clear" w:fill="FFFFFF"/>
          <w:lang w:eastAsia="zh-CN"/>
        </w:rPr>
        <w:t>行政</w:t>
      </w:r>
      <w:r>
        <w:rPr>
          <w:rFonts w:hint="eastAsia" w:ascii="宋体" w:hAnsi="宋体" w:eastAsia="宋体" w:cs="宋体"/>
          <w:i w:val="0"/>
          <w:iCs w:val="0"/>
          <w:caps w:val="0"/>
          <w:color w:val="333333"/>
          <w:spacing w:val="0"/>
          <w:sz w:val="28"/>
          <w:szCs w:val="28"/>
          <w:shd w:val="clear" w:fill="FFFFFF"/>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0" w:right="0" w:firstLine="640"/>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shd w:val="clear" w:fill="FFFFFF"/>
        </w:rPr>
        <w:t>3.经费管理方式：西安市莲湖区</w:t>
      </w:r>
      <w:r>
        <w:rPr>
          <w:rFonts w:hint="eastAsia" w:ascii="宋体" w:hAnsi="宋体" w:eastAsia="宋体" w:cs="宋体"/>
          <w:i w:val="0"/>
          <w:iCs w:val="0"/>
          <w:caps w:val="0"/>
          <w:color w:val="333333"/>
          <w:spacing w:val="0"/>
          <w:sz w:val="28"/>
          <w:szCs w:val="28"/>
          <w:shd w:val="clear" w:fill="FFFFFF"/>
          <w:lang w:eastAsia="zh-CN"/>
        </w:rPr>
        <w:t>旅游</w:t>
      </w:r>
      <w:r>
        <w:rPr>
          <w:rFonts w:hint="eastAsia" w:ascii="宋体" w:hAnsi="宋体" w:eastAsia="宋体" w:cs="宋体"/>
          <w:i w:val="0"/>
          <w:iCs w:val="0"/>
          <w:caps w:val="0"/>
          <w:color w:val="333333"/>
          <w:spacing w:val="0"/>
          <w:sz w:val="28"/>
          <w:szCs w:val="28"/>
          <w:shd w:val="clear" w:fill="FFFFFF"/>
        </w:rPr>
        <w:t>经费管理方式为全额预算拨款单位。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643" w:right="0" w:firstLine="0"/>
        <w:jc w:val="left"/>
        <w:rPr>
          <w:rFonts w:hint="eastAsia" w:ascii="宋体" w:hAnsi="宋体" w:eastAsia="宋体" w:cs="宋体"/>
          <w:b w:val="0"/>
          <w:bCs w:val="0"/>
          <w:i w:val="0"/>
          <w:iCs w:val="0"/>
          <w:caps w:val="0"/>
          <w:color w:val="2B2B2B"/>
          <w:spacing w:val="0"/>
          <w:sz w:val="30"/>
          <w:szCs w:val="30"/>
        </w:rPr>
      </w:pPr>
      <w:r>
        <w:rPr>
          <w:rFonts w:hint="eastAsia" w:ascii="宋体" w:hAnsi="宋体" w:eastAsia="宋体" w:cs="宋体"/>
          <w:b w:val="0"/>
          <w:bCs w:val="0"/>
          <w:i w:val="0"/>
          <w:iCs w:val="0"/>
          <w:caps w:val="0"/>
          <w:color w:val="2B2B2B"/>
          <w:spacing w:val="0"/>
          <w:sz w:val="30"/>
          <w:szCs w:val="30"/>
          <w:shd w:val="clear" w:fill="FFFFFF"/>
        </w:rPr>
        <w:t>四、部门人员情况说明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r>
        <w:rPr>
          <w:rFonts w:hint="eastAsia" w:ascii="宋体" w:hAnsi="宋体" w:eastAsia="宋体" w:cs="宋体"/>
          <w:i w:val="0"/>
          <w:iCs w:val="0"/>
          <w:caps w:val="0"/>
          <w:color w:val="2B2B2B"/>
          <w:spacing w:val="0"/>
          <w:sz w:val="28"/>
          <w:szCs w:val="28"/>
          <w:shd w:val="clear" w:fill="FFFFFF"/>
        </w:rPr>
        <w:t>截止201</w:t>
      </w:r>
      <w:r>
        <w:rPr>
          <w:rFonts w:hint="eastAsia" w:ascii="宋体" w:hAnsi="宋体" w:eastAsia="宋体" w:cs="宋体"/>
          <w:i w:val="0"/>
          <w:iCs w:val="0"/>
          <w:caps w:val="0"/>
          <w:color w:val="2B2B2B"/>
          <w:spacing w:val="0"/>
          <w:sz w:val="28"/>
          <w:szCs w:val="28"/>
          <w:shd w:val="clear" w:fill="FFFFFF"/>
          <w:lang w:val="en-US" w:eastAsia="zh-CN"/>
        </w:rPr>
        <w:t>9</w:t>
      </w:r>
      <w:r>
        <w:rPr>
          <w:rFonts w:hint="eastAsia" w:ascii="宋体" w:hAnsi="宋体" w:eastAsia="宋体" w:cs="宋体"/>
          <w:i w:val="0"/>
          <w:iCs w:val="0"/>
          <w:caps w:val="0"/>
          <w:color w:val="2B2B2B"/>
          <w:spacing w:val="0"/>
          <w:sz w:val="28"/>
          <w:szCs w:val="28"/>
          <w:shd w:val="clear" w:fill="FFFFFF"/>
        </w:rPr>
        <w:t>年底，本部门人员编制12人，其中行政编制6人、事业编制6人；实有人员12人，离退休人员1人。</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编制</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行政编制</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事业编制</w:t>
            </w:r>
          </w:p>
        </w:tc>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离退人员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5" w:type="dxa"/>
          </w:tcPr>
          <w:p>
            <w:pPr>
              <w:spacing w:line="560" w:lineRule="exact"/>
              <w:rPr>
                <w:rFonts w:ascii="仿宋_GB2312" w:eastAsia="仿宋_GB2312" w:cs="仿宋"/>
                <w:sz w:val="32"/>
                <w:szCs w:val="32"/>
              </w:rPr>
            </w:pPr>
            <w:r>
              <w:rPr>
                <w:rFonts w:hint="eastAsia" w:ascii="仿宋_GB2312" w:eastAsia="仿宋_GB2312" w:cs="仿宋"/>
                <w:sz w:val="32"/>
                <w:szCs w:val="32"/>
              </w:rPr>
              <w:t>人数</w:t>
            </w:r>
          </w:p>
        </w:tc>
        <w:tc>
          <w:tcPr>
            <w:tcW w:w="2265" w:type="dxa"/>
          </w:tcPr>
          <w:p>
            <w:pPr>
              <w:spacing w:line="560" w:lineRule="exact"/>
              <w:rPr>
                <w:rFonts w:hint="eastAsia" w:ascii="仿宋_GB2312" w:eastAsia="仿宋_GB2312" w:cs="仿宋"/>
                <w:sz w:val="32"/>
                <w:szCs w:val="32"/>
                <w:lang w:eastAsia="zh-CN"/>
              </w:rPr>
            </w:pPr>
            <w:r>
              <w:rPr>
                <w:rFonts w:hint="eastAsia" w:ascii="仿宋_GB2312" w:eastAsia="仿宋_GB2312" w:cs="仿宋"/>
                <w:sz w:val="32"/>
                <w:szCs w:val="32"/>
                <w:lang w:val="en-US" w:eastAsia="zh-CN"/>
              </w:rPr>
              <w:t>6</w:t>
            </w:r>
          </w:p>
        </w:tc>
        <w:tc>
          <w:tcPr>
            <w:tcW w:w="2265" w:type="dxa"/>
          </w:tcPr>
          <w:p>
            <w:pPr>
              <w:spacing w:line="560" w:lineRule="exact"/>
              <w:rPr>
                <w:rFonts w:hint="eastAsia" w:ascii="仿宋_GB2312" w:eastAsia="仿宋_GB2312" w:cs="仿宋"/>
                <w:sz w:val="32"/>
                <w:szCs w:val="32"/>
                <w:lang w:eastAsia="zh-CN"/>
              </w:rPr>
            </w:pPr>
            <w:r>
              <w:rPr>
                <w:rFonts w:hint="eastAsia" w:ascii="仿宋_GB2312" w:eastAsia="仿宋_GB2312" w:cs="仿宋"/>
                <w:sz w:val="32"/>
                <w:szCs w:val="32"/>
                <w:lang w:val="en-US" w:eastAsia="zh-CN"/>
              </w:rPr>
              <w:t>6</w:t>
            </w:r>
          </w:p>
        </w:tc>
        <w:tc>
          <w:tcPr>
            <w:tcW w:w="2265" w:type="dxa"/>
          </w:tcPr>
          <w:p>
            <w:pPr>
              <w:spacing w:line="560" w:lineRule="exact"/>
              <w:rPr>
                <w:rFonts w:hint="eastAsia" w:ascii="仿宋_GB2312" w:eastAsia="仿宋_GB2312" w:cs="仿宋"/>
                <w:sz w:val="32"/>
                <w:szCs w:val="32"/>
                <w:lang w:eastAsia="zh-CN"/>
              </w:rPr>
            </w:pPr>
            <w:r>
              <w:rPr>
                <w:rFonts w:hint="eastAsia" w:ascii="仿宋_GB2312" w:eastAsia="仿宋_GB2312" w:cs="仿宋"/>
                <w:sz w:val="32"/>
                <w:szCs w:val="32"/>
                <w:lang w:val="en-US" w:eastAsia="zh-CN"/>
              </w:rPr>
              <w:t>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r>
        <w:drawing>
          <wp:anchor distT="0" distB="0" distL="114300" distR="114300" simplePos="0" relativeHeight="251659264" behindDoc="0" locked="0" layoutInCell="1" allowOverlap="1">
            <wp:simplePos x="0" y="0"/>
            <wp:positionH relativeFrom="column">
              <wp:posOffset>-142875</wp:posOffset>
            </wp:positionH>
            <wp:positionV relativeFrom="paragraph">
              <wp:posOffset>347980</wp:posOffset>
            </wp:positionV>
            <wp:extent cx="5334000" cy="2457450"/>
            <wp:effectExtent l="4445" t="4445" r="14605" b="14605"/>
            <wp:wrapNone/>
            <wp:docPr id="7"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b w:val="0"/>
          <w:bCs w:val="0"/>
          <w:i w:val="0"/>
          <w:iCs w:val="0"/>
          <w:caps w:val="0"/>
          <w:color w:val="2B2B2B"/>
          <w:spacing w:val="0"/>
          <w:sz w:val="30"/>
          <w:szCs w:val="30"/>
        </w:rPr>
      </w:pPr>
      <w:r>
        <w:rPr>
          <w:rFonts w:hint="eastAsia" w:ascii="宋体" w:hAnsi="宋体" w:eastAsia="宋体" w:cs="宋体"/>
          <w:b w:val="0"/>
          <w:bCs w:val="0"/>
          <w:i w:val="0"/>
          <w:iCs w:val="0"/>
          <w:caps w:val="0"/>
          <w:color w:val="2B2B2B"/>
          <w:spacing w:val="0"/>
          <w:sz w:val="30"/>
          <w:szCs w:val="30"/>
          <w:shd w:val="clear" w:fill="FFFFFF"/>
        </w:rPr>
        <w:t>五、部门国有资产占有使用及资产购置情况说明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截至2018年12月31日，本部门所属预算单位共有资产合计585970元，均为固定资产，无单价20万元以上的设备。201</w:t>
      </w:r>
      <w:r>
        <w:rPr>
          <w:rFonts w:hint="eastAsia" w:ascii="宋体" w:hAnsi="宋体" w:eastAsia="宋体" w:cs="宋体"/>
          <w:i w:val="0"/>
          <w:iCs w:val="0"/>
          <w:caps w:val="0"/>
          <w:color w:val="2B2B2B"/>
          <w:spacing w:val="0"/>
          <w:sz w:val="28"/>
          <w:szCs w:val="28"/>
          <w:shd w:val="clear" w:fill="FFFFFF"/>
          <w:lang w:val="en-US" w:eastAsia="zh-CN"/>
        </w:rPr>
        <w:t>9</w:t>
      </w:r>
      <w:r>
        <w:rPr>
          <w:rFonts w:hint="eastAsia" w:ascii="宋体" w:hAnsi="宋体" w:eastAsia="宋体" w:cs="宋体"/>
          <w:i w:val="0"/>
          <w:iCs w:val="0"/>
          <w:caps w:val="0"/>
          <w:color w:val="2B2B2B"/>
          <w:spacing w:val="0"/>
          <w:sz w:val="28"/>
          <w:szCs w:val="28"/>
          <w:shd w:val="clear" w:fill="FFFFFF"/>
        </w:rPr>
        <w:t>年部门预算无资产购置安排。 截至201</w:t>
      </w:r>
      <w:r>
        <w:rPr>
          <w:rFonts w:hint="eastAsia" w:ascii="宋体" w:hAnsi="宋体" w:eastAsia="宋体" w:cs="宋体"/>
          <w:i w:val="0"/>
          <w:iCs w:val="0"/>
          <w:caps w:val="0"/>
          <w:color w:val="2B2B2B"/>
          <w:spacing w:val="0"/>
          <w:sz w:val="28"/>
          <w:szCs w:val="28"/>
          <w:shd w:val="clear" w:fill="FFFFFF"/>
          <w:lang w:val="en-US" w:eastAsia="zh-CN"/>
        </w:rPr>
        <w:t>9</w:t>
      </w:r>
      <w:r>
        <w:rPr>
          <w:rFonts w:hint="eastAsia" w:ascii="宋体" w:hAnsi="宋体" w:eastAsia="宋体" w:cs="宋体"/>
          <w:i w:val="0"/>
          <w:iCs w:val="0"/>
          <w:caps w:val="0"/>
          <w:color w:val="2B2B2B"/>
          <w:spacing w:val="0"/>
          <w:sz w:val="28"/>
          <w:szCs w:val="28"/>
          <w:shd w:val="clear" w:fill="FFFFFF"/>
        </w:rPr>
        <w:t>年</w:t>
      </w:r>
      <w:r>
        <w:rPr>
          <w:rFonts w:hint="eastAsia" w:ascii="宋体" w:hAnsi="宋体" w:eastAsia="宋体" w:cs="宋体"/>
          <w:i w:val="0"/>
          <w:iCs w:val="0"/>
          <w:caps w:val="0"/>
          <w:color w:val="2B2B2B"/>
          <w:spacing w:val="0"/>
          <w:sz w:val="28"/>
          <w:szCs w:val="28"/>
          <w:shd w:val="clear" w:fill="FFFFFF"/>
          <w:lang w:eastAsia="zh-CN"/>
        </w:rPr>
        <w:t>底</w:t>
      </w:r>
      <w:r>
        <w:rPr>
          <w:rFonts w:hint="eastAsia" w:ascii="宋体" w:hAnsi="宋体" w:eastAsia="宋体" w:cs="宋体"/>
          <w:i w:val="0"/>
          <w:iCs w:val="0"/>
          <w:caps w:val="0"/>
          <w:color w:val="2B2B2B"/>
          <w:spacing w:val="0"/>
          <w:sz w:val="28"/>
          <w:szCs w:val="28"/>
          <w:shd w:val="clear" w:fill="FFFFFF"/>
        </w:rPr>
        <w:t>，我单位共有车辆1辆。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7"/>
        <w:jc w:val="left"/>
        <w:rPr>
          <w:rFonts w:hint="eastAsia" w:ascii="宋体" w:hAnsi="宋体" w:eastAsia="宋体" w:cs="宋体"/>
          <w:b w:val="0"/>
          <w:bCs w:val="0"/>
          <w:i w:val="0"/>
          <w:iCs w:val="0"/>
          <w:caps w:val="0"/>
          <w:color w:val="2B2B2B"/>
          <w:spacing w:val="0"/>
          <w:sz w:val="30"/>
          <w:szCs w:val="30"/>
        </w:rPr>
      </w:pPr>
      <w:r>
        <w:rPr>
          <w:rFonts w:hint="eastAsia" w:ascii="宋体" w:hAnsi="宋体" w:eastAsia="宋体" w:cs="宋体"/>
          <w:b w:val="0"/>
          <w:bCs w:val="0"/>
          <w:i w:val="0"/>
          <w:iCs w:val="0"/>
          <w:caps w:val="0"/>
          <w:color w:val="2B2B2B"/>
          <w:spacing w:val="0"/>
          <w:sz w:val="30"/>
          <w:szCs w:val="30"/>
          <w:shd w:val="clear" w:fill="FFFFFF"/>
        </w:rPr>
        <w:t>六、部门预算绩效目标说明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2019年本部门实现了绩效目标管理全覆盖，涉及一般公共预算当年拨款226.01万元,政府性基金预算我局未涉及。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7"/>
        <w:jc w:val="left"/>
        <w:rPr>
          <w:rFonts w:hint="eastAsia" w:ascii="微软雅黑" w:hAnsi="微软雅黑" w:eastAsia="微软雅黑" w:cs="微软雅黑"/>
          <w:i w:val="0"/>
          <w:iCs w:val="0"/>
          <w:caps w:val="0"/>
          <w:color w:val="2B2B2B"/>
          <w:spacing w:val="0"/>
          <w:sz w:val="24"/>
          <w:szCs w:val="24"/>
        </w:rPr>
      </w:pPr>
      <w:r>
        <w:rPr>
          <w:rFonts w:hint="eastAsia" w:ascii="宋体" w:hAnsi="宋体" w:eastAsia="宋体" w:cs="宋体"/>
          <w:b w:val="0"/>
          <w:bCs w:val="0"/>
          <w:i w:val="0"/>
          <w:iCs w:val="0"/>
          <w:caps w:val="0"/>
          <w:color w:val="2B2B2B"/>
          <w:spacing w:val="0"/>
          <w:sz w:val="28"/>
          <w:szCs w:val="28"/>
          <w:shd w:val="clear" w:fill="FFFFFF"/>
        </w:rPr>
        <w:t>七、2019年部门预算收支说明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（一）收支预算总体情况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2019年度本部门预算收入总计226.01万元，比2018年度预算增加61.52万元，主要为在建项目资金以及单位工作业务量加大。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（二）财政拨款收支情况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2019年度本部门预算收入总计226.01万元，比2018年度预算增加61.52万元，主要为在建项目资金以及单位工作业务量加大。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（三）一般公共预算拨款支出明细情况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1、一般公共预算当年拨款规模变化情况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2019年度本部门预算收入总计226.01万元，比2018年度预算增加61.52万元，主要为在建项目资金以及单位工作业务量加大。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 2、支出按功能科目分类的明细情况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仿宋_GB2312" w:hAnsi="微软雅黑" w:eastAsia="仿宋_GB2312" w:cs="仿宋_GB2312"/>
          <w:i w:val="0"/>
          <w:iCs w:val="0"/>
          <w:caps w:val="0"/>
          <w:color w:val="2B2B2B"/>
          <w:spacing w:val="0"/>
          <w:sz w:val="32"/>
          <w:szCs w:val="32"/>
          <w:shd w:val="clear" w:fill="FFFFFF"/>
        </w:rPr>
        <w:t> </w:t>
      </w:r>
      <w:r>
        <w:rPr>
          <w:rFonts w:hint="eastAsia" w:ascii="宋体" w:hAnsi="宋体" w:eastAsia="宋体" w:cs="宋体"/>
          <w:i w:val="0"/>
          <w:iCs w:val="0"/>
          <w:caps w:val="0"/>
          <w:color w:val="2B2B2B"/>
          <w:spacing w:val="0"/>
          <w:sz w:val="28"/>
          <w:szCs w:val="28"/>
          <w:shd w:val="clear" w:fill="FFFFFF"/>
        </w:rPr>
        <w:t>按照部门支出功能分类科目：本部门基本支出117.01万元，比上年增加11.52万元，主要为人员增加；项目支出109万元，比上年增加50万，主要是北院门历史文化街区应急指挥系统二期项目费用。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900" w:firstLineChars="300"/>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3、支出按经济科目分类的明细情况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r>
        <w:rPr>
          <w:rFonts w:hint="eastAsia" w:ascii="宋体" w:hAnsi="宋体" w:eastAsia="宋体" w:cs="宋体"/>
          <w:i w:val="0"/>
          <w:iCs w:val="0"/>
          <w:caps w:val="0"/>
          <w:color w:val="2B2B2B"/>
          <w:spacing w:val="0"/>
          <w:sz w:val="28"/>
          <w:szCs w:val="28"/>
          <w:shd w:val="clear" w:fill="FFFFFF"/>
        </w:rPr>
        <w:t>我局一般公共预算支出按经济分类科目分，工资福利支出</w:t>
      </w:r>
      <w:r>
        <w:rPr>
          <w:rFonts w:hint="eastAsia" w:ascii="宋体" w:hAnsi="宋体" w:eastAsia="宋体" w:cs="宋体"/>
          <w:i w:val="0"/>
          <w:iCs w:val="0"/>
          <w:caps w:val="0"/>
          <w:color w:val="2B2B2B"/>
          <w:spacing w:val="0"/>
          <w:sz w:val="28"/>
          <w:szCs w:val="28"/>
          <w:shd w:val="clear" w:fill="FFFFFF"/>
          <w:lang w:eastAsia="zh-CN"/>
        </w:rPr>
        <w:t>（</w:t>
      </w:r>
      <w:r>
        <w:rPr>
          <w:rFonts w:hint="eastAsia" w:ascii="宋体" w:hAnsi="宋体" w:eastAsia="宋体" w:cs="宋体"/>
          <w:i w:val="0"/>
          <w:iCs w:val="0"/>
          <w:caps w:val="0"/>
          <w:color w:val="2B2B2B"/>
          <w:spacing w:val="0"/>
          <w:sz w:val="28"/>
          <w:szCs w:val="28"/>
          <w:shd w:val="clear" w:fill="FFFFFF"/>
          <w:lang w:val="en-US" w:eastAsia="zh-CN"/>
        </w:rPr>
        <w:t>301</w:t>
      </w:r>
      <w:r>
        <w:rPr>
          <w:rFonts w:hint="eastAsia" w:ascii="宋体" w:hAnsi="宋体" w:eastAsia="宋体" w:cs="宋体"/>
          <w:i w:val="0"/>
          <w:iCs w:val="0"/>
          <w:caps w:val="0"/>
          <w:color w:val="2B2B2B"/>
          <w:spacing w:val="0"/>
          <w:sz w:val="28"/>
          <w:szCs w:val="28"/>
          <w:shd w:val="clear" w:fill="FFFFFF"/>
          <w:lang w:eastAsia="zh-CN"/>
        </w:rPr>
        <w:t>）</w:t>
      </w:r>
      <w:r>
        <w:rPr>
          <w:rFonts w:hint="eastAsia" w:ascii="宋体" w:hAnsi="宋体" w:eastAsia="宋体" w:cs="宋体"/>
          <w:i w:val="0"/>
          <w:iCs w:val="0"/>
          <w:caps w:val="0"/>
          <w:color w:val="2B2B2B"/>
          <w:spacing w:val="0"/>
          <w:sz w:val="28"/>
          <w:szCs w:val="28"/>
          <w:shd w:val="clear" w:fill="FFFFFF"/>
        </w:rPr>
        <w:t>100.08</w:t>
      </w:r>
      <w:r>
        <w:rPr>
          <w:rFonts w:hint="eastAsia" w:ascii="宋体" w:hAnsi="宋体" w:eastAsia="宋体" w:cs="宋体"/>
          <w:i w:val="0"/>
          <w:iCs w:val="0"/>
          <w:caps w:val="0"/>
          <w:color w:val="2B2B2B"/>
          <w:spacing w:val="0"/>
          <w:sz w:val="28"/>
          <w:szCs w:val="28"/>
          <w:shd w:val="clear" w:fill="FFFFFF"/>
          <w:lang w:val="en-US" w:eastAsia="zh-CN"/>
        </w:rPr>
        <w:t>9</w:t>
      </w:r>
      <w:r>
        <w:rPr>
          <w:rFonts w:hint="eastAsia" w:ascii="宋体" w:hAnsi="宋体" w:eastAsia="宋体" w:cs="宋体"/>
          <w:i w:val="0"/>
          <w:iCs w:val="0"/>
          <w:caps w:val="0"/>
          <w:color w:val="2B2B2B"/>
          <w:spacing w:val="0"/>
          <w:sz w:val="28"/>
          <w:szCs w:val="28"/>
          <w:shd w:val="clear" w:fill="FFFFFF"/>
        </w:rPr>
        <w:t>万元；商品和服务支出16.52万元；对个人和家庭的补助0.4万元。比2018年都相应增加，主要为人员增加。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项目支出109万元，比上年增加50万，主要是北院门历史文化街区应急指挥系统二期项目费用。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900" w:firstLineChars="300"/>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（四）政府性基金预算支出情况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shd w:val="clear" w:fill="FFFFFF"/>
        </w:rPr>
      </w:pPr>
      <w:r>
        <w:rPr>
          <w:rFonts w:hint="eastAsia" w:ascii="仿宋_GB2312" w:hAnsi="微软雅黑" w:eastAsia="仿宋_GB2312" w:cs="仿宋_GB2312"/>
          <w:i w:val="0"/>
          <w:iCs w:val="0"/>
          <w:caps w:val="0"/>
          <w:color w:val="2B2B2B"/>
          <w:spacing w:val="0"/>
          <w:sz w:val="32"/>
          <w:szCs w:val="32"/>
          <w:shd w:val="clear" w:fill="FFFFFF"/>
        </w:rPr>
        <w:t> </w:t>
      </w:r>
      <w:r>
        <w:rPr>
          <w:rFonts w:hint="eastAsia" w:ascii="宋体" w:hAnsi="宋体" w:eastAsia="宋体" w:cs="宋体"/>
          <w:i w:val="0"/>
          <w:iCs w:val="0"/>
          <w:caps w:val="0"/>
          <w:color w:val="2B2B2B"/>
          <w:spacing w:val="0"/>
          <w:sz w:val="28"/>
          <w:szCs w:val="28"/>
          <w:shd w:val="clear" w:fill="FFFFFF"/>
        </w:rPr>
        <w:t>本部门无政府性基金预算收支，并已公开空表。</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10" w:leftChars="0" w:right="0" w:firstLine="640" w:firstLineChars="0"/>
        <w:rPr>
          <w:rFonts w:hint="eastAsia" w:ascii="宋体" w:hAnsi="宋体" w:eastAsia="宋体" w:cs="宋体"/>
          <w:i w:val="0"/>
          <w:iCs w:val="0"/>
          <w:caps w:val="0"/>
          <w:color w:val="333333"/>
          <w:spacing w:val="0"/>
          <w:sz w:val="28"/>
          <w:szCs w:val="28"/>
          <w:shd w:val="clear" w:fill="FFFFFF"/>
          <w:lang w:eastAsia="zh-CN"/>
        </w:rPr>
      </w:pPr>
      <w:r>
        <w:rPr>
          <w:rFonts w:hint="eastAsia" w:ascii="宋体" w:hAnsi="宋体" w:eastAsia="宋体" w:cs="宋体"/>
          <w:i w:val="0"/>
          <w:iCs w:val="0"/>
          <w:caps w:val="0"/>
          <w:color w:val="333333"/>
          <w:spacing w:val="0"/>
          <w:sz w:val="30"/>
          <w:szCs w:val="30"/>
          <w:shd w:val="clear" w:fill="FFFFFF"/>
        </w:rPr>
        <w:t>国有资本经营预算拨款收支情况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630" w:leftChars="0" w:right="0" w:rightChars="0"/>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i w:val="0"/>
          <w:iCs w:val="0"/>
          <w:caps w:val="0"/>
          <w:color w:val="333333"/>
          <w:spacing w:val="0"/>
          <w:sz w:val="28"/>
          <w:szCs w:val="28"/>
          <w:shd w:val="clear" w:fill="FFFFFF"/>
          <w:lang w:eastAsia="zh-CN"/>
        </w:rPr>
        <w:t>本部门无</w:t>
      </w:r>
      <w:r>
        <w:rPr>
          <w:rFonts w:hint="eastAsia" w:ascii="宋体" w:hAnsi="宋体" w:eastAsia="宋体" w:cs="宋体"/>
          <w:i w:val="0"/>
          <w:iCs w:val="0"/>
          <w:caps w:val="0"/>
          <w:color w:val="333333"/>
          <w:spacing w:val="0"/>
          <w:sz w:val="28"/>
          <w:szCs w:val="28"/>
          <w:shd w:val="clear" w:fill="FFFFFF"/>
        </w:rPr>
        <w:t>国有资本经营预算拨款收支</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390" w:afterAutospacing="0"/>
        <w:ind w:left="630" w:leftChars="0" w:right="0" w:rightChars="0"/>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w:t>
      </w:r>
      <w:r>
        <w:rPr>
          <w:rFonts w:hint="eastAsia" w:ascii="宋体" w:hAnsi="宋体" w:eastAsia="宋体" w:cs="宋体"/>
          <w:i w:val="0"/>
          <w:iCs w:val="0"/>
          <w:caps w:val="0"/>
          <w:color w:val="2B2B2B"/>
          <w:spacing w:val="0"/>
          <w:sz w:val="30"/>
          <w:szCs w:val="30"/>
          <w:shd w:val="clear" w:fill="FFFFFF"/>
          <w:lang w:eastAsia="zh-CN"/>
        </w:rPr>
        <w:t>六</w:t>
      </w:r>
      <w:r>
        <w:rPr>
          <w:rFonts w:hint="eastAsia" w:ascii="宋体" w:hAnsi="宋体" w:eastAsia="宋体" w:cs="宋体"/>
          <w:i w:val="0"/>
          <w:iCs w:val="0"/>
          <w:caps w:val="0"/>
          <w:color w:val="2B2B2B"/>
          <w:spacing w:val="0"/>
          <w:sz w:val="30"/>
          <w:szCs w:val="30"/>
          <w:shd w:val="clear" w:fill="FFFFFF"/>
        </w:rPr>
        <w:t>）“三公”经费等预算情况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本部门“三公”经费中会议费0.5万元比上年增加0.14万元；培训费0.87万元比上年增加0.51万元，主要为增加了业务培训。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w:t>
      </w:r>
      <w:r>
        <w:rPr>
          <w:rFonts w:hint="eastAsia" w:ascii="宋体" w:hAnsi="宋体" w:eastAsia="宋体" w:cs="宋体"/>
          <w:i w:val="0"/>
          <w:iCs w:val="0"/>
          <w:caps w:val="0"/>
          <w:color w:val="2B2B2B"/>
          <w:spacing w:val="0"/>
          <w:sz w:val="30"/>
          <w:szCs w:val="30"/>
          <w:shd w:val="clear" w:fill="FFFFFF"/>
          <w:lang w:eastAsia="zh-CN"/>
        </w:rPr>
        <w:t>七</w:t>
      </w:r>
      <w:r>
        <w:rPr>
          <w:rFonts w:hint="eastAsia" w:ascii="宋体" w:hAnsi="宋体" w:eastAsia="宋体" w:cs="宋体"/>
          <w:i w:val="0"/>
          <w:iCs w:val="0"/>
          <w:caps w:val="0"/>
          <w:color w:val="2B2B2B"/>
          <w:spacing w:val="0"/>
          <w:sz w:val="30"/>
          <w:szCs w:val="30"/>
          <w:shd w:val="clear" w:fill="FFFFFF"/>
        </w:rPr>
        <w:t>）机关运行经费安排情况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本部门公用经费安排16.52万元，包括办公费、工会经费、福利费、其他交通费用。比上年有所减少1.76万元，主要为厉行节约，减少办公开支。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rPr>
        <w:t>（</w:t>
      </w:r>
      <w:r>
        <w:rPr>
          <w:rFonts w:hint="eastAsia" w:ascii="宋体" w:hAnsi="宋体" w:eastAsia="宋体" w:cs="宋体"/>
          <w:i w:val="0"/>
          <w:iCs w:val="0"/>
          <w:caps w:val="0"/>
          <w:color w:val="2B2B2B"/>
          <w:spacing w:val="0"/>
          <w:sz w:val="30"/>
          <w:szCs w:val="30"/>
          <w:shd w:val="clear" w:fill="FFFFFF"/>
          <w:lang w:eastAsia="zh-CN"/>
        </w:rPr>
        <w:t>八</w:t>
      </w:r>
      <w:r>
        <w:rPr>
          <w:rFonts w:hint="eastAsia" w:ascii="宋体" w:hAnsi="宋体" w:eastAsia="宋体" w:cs="宋体"/>
          <w:i w:val="0"/>
          <w:iCs w:val="0"/>
          <w:caps w:val="0"/>
          <w:color w:val="2B2B2B"/>
          <w:spacing w:val="0"/>
          <w:sz w:val="30"/>
          <w:szCs w:val="30"/>
          <w:shd w:val="clear" w:fill="FFFFFF"/>
        </w:rPr>
        <w:t>）政府采购情况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64"/>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 本部门2019年无政府采购预算，并已公开空表。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800"/>
        <w:jc w:val="left"/>
        <w:rPr>
          <w:rFonts w:hint="eastAsia" w:ascii="宋体" w:hAnsi="宋体" w:eastAsia="宋体" w:cs="宋体"/>
          <w:i w:val="0"/>
          <w:iCs w:val="0"/>
          <w:caps w:val="0"/>
          <w:color w:val="2B2B2B"/>
          <w:spacing w:val="0"/>
          <w:sz w:val="30"/>
          <w:szCs w:val="30"/>
        </w:rPr>
      </w:pPr>
      <w:r>
        <w:rPr>
          <w:rFonts w:hint="eastAsia" w:ascii="宋体" w:hAnsi="宋体" w:eastAsia="宋体" w:cs="宋体"/>
          <w:i w:val="0"/>
          <w:iCs w:val="0"/>
          <w:caps w:val="0"/>
          <w:color w:val="2B2B2B"/>
          <w:spacing w:val="0"/>
          <w:sz w:val="30"/>
          <w:szCs w:val="30"/>
          <w:shd w:val="clear" w:fill="FFFFFF"/>
          <w:lang w:eastAsia="zh-CN"/>
        </w:rPr>
        <w:t>八、</w:t>
      </w:r>
      <w:r>
        <w:rPr>
          <w:rFonts w:hint="eastAsia" w:ascii="宋体" w:hAnsi="宋体" w:eastAsia="宋体" w:cs="宋体"/>
          <w:i w:val="0"/>
          <w:iCs w:val="0"/>
          <w:caps w:val="0"/>
          <w:color w:val="2B2B2B"/>
          <w:spacing w:val="0"/>
          <w:sz w:val="30"/>
          <w:szCs w:val="30"/>
          <w:shd w:val="clear" w:fill="FFFFFF"/>
        </w:rPr>
        <w:t>专业名词解释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　1.三公经费：指财政拨款支出安排的出国（境）费、车辆购置及运行费、公务接待费这三项经费。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　2.机关运行经费：指为保障单位运行用于购买货物和服务的各项资金，包括办公及印刷费、邮电费、手续费、邮电费、维修（护）费、差旅费、培训费、委托业务费、工会经费等。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iCs w:val="0"/>
          <w:caps w:val="0"/>
          <w:color w:val="2B2B2B"/>
          <w:spacing w:val="0"/>
          <w:sz w:val="28"/>
          <w:szCs w:val="28"/>
        </w:rPr>
      </w:pPr>
      <w:r>
        <w:rPr>
          <w:rFonts w:hint="eastAsia" w:ascii="宋体" w:hAnsi="宋体" w:eastAsia="宋体" w:cs="宋体"/>
          <w:i w:val="0"/>
          <w:iCs w:val="0"/>
          <w:caps w:val="0"/>
          <w:color w:val="2B2B2B"/>
          <w:spacing w:val="0"/>
          <w:sz w:val="28"/>
          <w:szCs w:val="28"/>
          <w:shd w:val="clear" w:fill="FFFFFF"/>
        </w:rPr>
        <w:t>　3.基本支出：包括人员经费和日常公用经费两部分。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sz w:val="28"/>
          <w:szCs w:val="28"/>
        </w:rPr>
      </w:pPr>
      <w:r>
        <w:rPr>
          <w:rFonts w:hint="eastAsia" w:ascii="宋体" w:hAnsi="宋体" w:eastAsia="宋体" w:cs="宋体"/>
          <w:i w:val="0"/>
          <w:iCs w:val="0"/>
          <w:caps w:val="0"/>
          <w:color w:val="2B2B2B"/>
          <w:spacing w:val="0"/>
          <w:sz w:val="28"/>
          <w:szCs w:val="28"/>
          <w:shd w:val="clear" w:fill="FFFFFF"/>
        </w:rPr>
        <w:t>　4.项目支出：项目支出是除基本预算支出以外财政预算专项专款安排的支出。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B202D2"/>
    <w:multiLevelType w:val="singleLevel"/>
    <w:tmpl w:val="9DB202D2"/>
    <w:lvl w:ilvl="0" w:tentative="0">
      <w:start w:val="5"/>
      <w:numFmt w:val="chineseCounting"/>
      <w:suff w:val="nothing"/>
      <w:lvlText w:val="（%1）"/>
      <w:lvlJc w:val="left"/>
      <w:pPr>
        <w:ind w:left="-10"/>
      </w:pPr>
      <w:rPr>
        <w:rFonts w:hint="eastAsia"/>
      </w:rPr>
    </w:lvl>
  </w:abstractNum>
  <w:abstractNum w:abstractNumId="1">
    <w:nsid w:val="E46ADB14"/>
    <w:multiLevelType w:val="singleLevel"/>
    <w:tmpl w:val="E46ADB14"/>
    <w:lvl w:ilvl="0" w:tentative="0">
      <w:start w:val="1"/>
      <w:numFmt w:val="chineseCounting"/>
      <w:suff w:val="nothing"/>
      <w:lvlText w:val="%1、"/>
      <w:lvlJc w:val="left"/>
      <w:pPr>
        <w:ind w:left="499"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8F2B76"/>
    <w:rsid w:val="237D6E83"/>
    <w:rsid w:val="461B7182"/>
    <w:rsid w:val="47085061"/>
    <w:rsid w:val="5C4C0FE0"/>
    <w:rsid w:val="61AD221D"/>
    <w:rsid w:val="61F67C2F"/>
    <w:rsid w:val="75085E90"/>
    <w:rsid w:val="75EB6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baseline="0">
                <a:solidFill>
                  <a:srgbClr val="595959"/>
                </a:solidFill>
                <a:latin typeface="Times New Roman" panose="02020603050405020304"/>
                <a:ea typeface="宋体" panose="02010600030101010101" charset="-122"/>
                <a:cs typeface="Arial" panose="020B0604020202020204" pitchFamily="2"/>
              </a:defRPr>
            </a:pPr>
            <a:r>
              <a:rPr lang="zh-CN"/>
              <a:t>人数</a:t>
            </a:r>
            <a:endParaRPr lang="zh-CN"/>
          </a:p>
        </c:rich>
      </c:tx>
      <c:layout/>
      <c:overlay val="0"/>
      <c:spPr>
        <a:noFill/>
        <a:ln>
          <a:noFill/>
        </a:ln>
      </c:spPr>
    </c:title>
    <c:autoTitleDeleted val="0"/>
    <c:plotArea>
      <c:layout/>
      <c:pieChart>
        <c:varyColors val="1"/>
        <c:ser>
          <c:idx val="0"/>
          <c:order val="0"/>
          <c:tx>
            <c:strRef>
              <c:f>Sheet1!$B$1</c:f>
              <c:strCache>
                <c:ptCount val="1"/>
                <c:pt idx="0">
                  <c:v>人数</c:v>
                </c:pt>
              </c:strCache>
            </c:strRef>
          </c:tx>
          <c:spPr>
            <a:ln>
              <a:noFill/>
            </a:ln>
          </c:spPr>
          <c:explosion val="0"/>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行政编制</c:v>
                </c:pt>
                <c:pt idx="1">
                  <c:v>事业编制</c:v>
                </c:pt>
                <c:pt idx="2">
                  <c:v>离退人员</c:v>
                </c:pt>
              </c:strCache>
            </c:strRef>
          </c:cat>
          <c:val>
            <c:numRef>
              <c:f>Sheet1!$B$2:$B$5</c:f>
              <c:numCache>
                <c:formatCode>General</c:formatCode>
                <c:ptCount val="4"/>
                <c:pt idx="0">
                  <c:v>6</c:v>
                </c:pt>
                <c:pt idx="1">
                  <c:v>6</c:v>
                </c:pt>
                <c:pt idx="2">
                  <c:v>1</c:v>
                </c:pt>
              </c:numCache>
            </c:numRef>
          </c:val>
        </c:ser>
        <c:ser>
          <c:idx val="1"/>
          <c:order val="1"/>
          <c:tx>
            <c:strRef>
              <c:f>Sheet1!$C$1</c:f>
              <c:strCache>
                <c:ptCount val="1"/>
                <c:pt idx="0">
                  <c:v>列2</c:v>
                </c:pt>
              </c:strCache>
            </c:strRef>
          </c:tx>
          <c:spPr>
            <a:ln>
              <a:noFill/>
            </a:ln>
          </c:spPr>
          <c:explosion val="0"/>
          <c:dPt>
            <c:idx val="0"/>
            <c:bubble3D val="0"/>
            <c:spPr>
              <a:ln w="19050">
                <a:solidFill>
                  <a:srgbClr val="FFFFFF"/>
                </a:solidFill>
                <a:prstDash val="solid"/>
              </a:ln>
            </c:spPr>
          </c:dPt>
          <c:dPt>
            <c:idx val="1"/>
            <c:bubble3D val="0"/>
            <c:spPr>
              <a:ln w="19050">
                <a:solidFill>
                  <a:srgbClr val="FFFFFF"/>
                </a:solidFill>
                <a:prstDash val="solid"/>
              </a:ln>
            </c:spPr>
          </c:dPt>
          <c:dPt>
            <c:idx val="2"/>
            <c:bubble3D val="0"/>
            <c:spPr>
              <a:ln w="19050">
                <a:solidFill>
                  <a:srgbClr val="FFFFFF"/>
                </a:solidFill>
                <a:prstDash val="solid"/>
              </a:ln>
            </c:spPr>
          </c:dPt>
          <c:dPt>
            <c:idx val="3"/>
            <c:bubble3D val="0"/>
            <c:spPr>
              <a:ln w="19050">
                <a:solidFill>
                  <a:srgbClr val="FFFFFF"/>
                </a:solidFill>
                <a:prstDash val="solid"/>
              </a:ln>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行政编制</c:v>
                </c:pt>
                <c:pt idx="1">
                  <c:v>事业编制</c:v>
                </c:pt>
                <c:pt idx="2">
                  <c:v>离退人员</c:v>
                </c:pt>
              </c:strCache>
            </c:strRef>
          </c:cat>
          <c:val>
            <c:numRef>
              <c:f>Sheet1!$C$2:$C$5</c:f>
              <c:numCache>
                <c:formatCode>General</c:formatCode>
                <c:ptCount val="4"/>
              </c:numCache>
            </c:numRef>
          </c:val>
        </c:ser>
        <c:ser>
          <c:idx val="2"/>
          <c:order val="2"/>
          <c:tx>
            <c:strRef>
              <c:f>Sheet1!$D$1</c:f>
              <c:strCache>
                <c:ptCount val="1"/>
                <c:pt idx="0">
                  <c:v>列3</c:v>
                </c:pt>
              </c:strCache>
            </c:strRef>
          </c:tx>
          <c:spPr>
            <a:ln>
              <a:noFill/>
            </a:ln>
          </c:spPr>
          <c:explosion val="0"/>
          <c:dPt>
            <c:idx val="0"/>
            <c:bubble3D val="0"/>
            <c:spPr>
              <a:ln w="19050">
                <a:solidFill>
                  <a:srgbClr val="FFFFFF"/>
                </a:solidFill>
                <a:prstDash val="solid"/>
              </a:ln>
            </c:spPr>
          </c:dPt>
          <c:dPt>
            <c:idx val="1"/>
            <c:bubble3D val="0"/>
            <c:spPr>
              <a:ln w="19050">
                <a:solidFill>
                  <a:srgbClr val="FFFFFF"/>
                </a:solidFill>
                <a:prstDash val="solid"/>
              </a:ln>
            </c:spPr>
          </c:dPt>
          <c:dPt>
            <c:idx val="2"/>
            <c:bubble3D val="0"/>
            <c:spPr>
              <a:ln w="19050">
                <a:solidFill>
                  <a:srgbClr val="FFFFFF"/>
                </a:solidFill>
                <a:prstDash val="solid"/>
              </a:ln>
            </c:spPr>
          </c:dPt>
          <c:dPt>
            <c:idx val="3"/>
            <c:bubble3D val="0"/>
            <c:spPr>
              <a:ln w="19050">
                <a:solidFill>
                  <a:srgbClr val="FFFFFF"/>
                </a:solidFill>
                <a:prstDash val="solid"/>
              </a:ln>
            </c:spPr>
          </c:dPt>
          <c:dLbls>
            <c:dLbl>
              <c:idx val="0"/>
              <c:delete val="1"/>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Times New Roman" panose="02020603050405020304"/>
                    <a:ea typeface="宋体" panose="02010600030101010101" charset="-122"/>
                    <a:cs typeface="Arial" panose="020B0604020202020204" pitchFamily="2"/>
                  </a:defRPr>
                </a:pPr>
              </a:p>
            </c:txPr>
            <c:dLblPos val="bestFit"/>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行政编制</c:v>
                </c:pt>
                <c:pt idx="1">
                  <c:v>事业编制</c:v>
                </c:pt>
                <c:pt idx="2">
                  <c:v>离退人员</c:v>
                </c:pt>
              </c:strCache>
            </c:strRef>
          </c:cat>
          <c:val>
            <c:numRef>
              <c:f>Sheet1!$D$2:$D$5</c:f>
              <c:numCache>
                <c:formatCode>General</c:formatCode>
                <c:ptCount val="4"/>
              </c:numCache>
            </c:numRef>
          </c:val>
        </c:ser>
        <c:dLbls>
          <c:showLegendKey val="0"/>
          <c:showVal val="0"/>
          <c:showCatName val="0"/>
          <c:showSerName val="0"/>
          <c:showPercent val="0"/>
          <c:showBubbleSize val="0"/>
          <c:showLeaderLines val="1"/>
        </c:dLbls>
        <c:firstSliceAng val="0"/>
      </c:pieChart>
      <c:spPr>
        <a:noFill/>
        <a:ln>
          <a:noFill/>
        </a:ln>
      </c:spPr>
    </c:plotArea>
    <c:legend>
      <c:legendPos val="b"/>
      <c:layout/>
      <c:overlay val="0"/>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Arial" panose="020B0604020202020204" pitchFamily="2"/>
            </a:defRPr>
          </a:pPr>
        </a:p>
      </c:txPr>
    </c:legend>
    <c:plotVisOnly val="1"/>
    <c:dispBlanksAs val="zero"/>
    <c:showDLblsOverMax val="0"/>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Arial" panose="020B0604020202020204" pitchFamily="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2021-05-26T04:03:00Z</dcterms:created>
  <dc:creator>admin</dc:creator>
  <cp:lastModifiedBy>海宁</cp:lastModifiedBy>
  <dcterms:modified xsi:type="dcterms:W3CDTF">2021-05-26T04:30:40Z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53C44E51C315483CBAC398E5CDF6B07B</vt:lpwstr>
  </property>
</Properties>
</file>