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2018年度区级部门决算公开内容包括部门概况和部门决算公开信息表、部门决算情况说明三部分。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一、部门概况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（一）部门主要职责、机构设置。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1、贯彻执行有关旅游业的法律法规和方针政策，起草本区旅游工作的规范性文件，并组织实施。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2、统筹协调全区旅游业发展，编制全区旅游发展规划并组织实施；拟订全区旅游市场宣传促销计划，组织全区旅游整体形象的对外宣传和重大推广活动。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3、组织全区旅游资源的普查工作；指导重点旅游区域、旅游目的地和旅游线路的规划开发，引导休闲度假;负责旅游旅游节庆、展会活动的策划和组织实施；协调和指导假日旅游和红色旅游工作。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4、组织指导旅游业同相关产业融合发展；推进旅游体制机制改革；研究制定推进全区旅游产业结构调整的政策措施。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5、承担规范全区旅游市场秩序、监督管理服务质量、维护旅游消费者和经营者合法权益的责任。规范全区旅游企业和从业人员的经营和服务行为；组织实施全区旅游设施、旅游服务和旅游产品等方面的服务标准；负责全区旅游安全的综合协调和监督管理，协调开展旅游应急救援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6、负责对旅行社门市部备案和分支机构的监督管理。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7、负责全区旅游公共服务和信息化建设；负责监测全区旅游经济运行、旅游统计和行业信息发布工作；指导全区旅游行业精神文明建设和诚信体系建设。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8、指导区旅游协会等行业组织的业务工作，开展旅游项目招商引资工作。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9、负责对省、市、区综合考核、专业考核指标日常监测、统计和报送，全面完成考核任务。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10、承办区政府交办的其他事项。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6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机构设置：</w:t>
      </w:r>
    </w:p>
    <w:tbl>
      <w:tblPr>
        <w:tblStyle w:val="3"/>
        <w:tblW w:w="83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15"/>
        <w:gridCol w:w="5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序号</w:t>
            </w:r>
          </w:p>
        </w:tc>
        <w:tc>
          <w:tcPr>
            <w:tcW w:w="531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科室名称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1</w:t>
            </w:r>
          </w:p>
        </w:tc>
        <w:tc>
          <w:tcPr>
            <w:tcW w:w="531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局办公室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2</w:t>
            </w:r>
          </w:p>
        </w:tc>
        <w:tc>
          <w:tcPr>
            <w:tcW w:w="531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旅游发展与管理科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015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3</w:t>
            </w:r>
          </w:p>
        </w:tc>
        <w:tc>
          <w:tcPr>
            <w:tcW w:w="5310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旅游管理服务中心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（二）2018年度主要工作任务及目标。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、主要工作任务：一是组织各涉旅单位结合我区历史人文、宗教、美食特色举办多种主题宣传活动。二是强化莲湖优秀旅游人才队伍建设。三是发挥好桥梁纽带作用，为企业牵线搭桥。发挥旅游协会等社会团体的引领作用和行业信息互通优势，在“以商招商”、“产业链招商”等方面寻求突破口，推动文旅企业入驻我区。四是加强旅游市场综合监管。持续开展旅行社、导游专项检查，打击不合理低价游、强迫消费等违法违规行为。五是保障游客安全。积极开展北院门风情街人流疏散、应急管理等工作，保障客流平稳安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3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、主要工作目标：超额完成旅游接待量。扎实开展旅游宣传活动。推进酒店公厕开放和旅游公厕建设。提升改造旅游标识。将旅游观光电瓶车与长安通互通，进一步方便市民游客乘坐。提高对游客服务水平。360VR全景体验项目拍摄制作工作，实现线上游览体验。持续开展旅游市场整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（三）部门所属基层预算单位名称、单位性质、经费管理方式、人员及资产情况。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1、决算单位构成　</w:t>
      </w:r>
    </w:p>
    <w:tbl>
      <w:tblPr>
        <w:tblStyle w:val="3"/>
        <w:tblpPr w:leftFromText="180" w:rightFromText="180" w:vertAnchor="text" w:horzAnchor="page" w:tblpX="1997" w:tblpY="-1148"/>
        <w:tblOverlap w:val="never"/>
        <w:tblW w:w="833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9"/>
        <w:gridCol w:w="2779"/>
        <w:gridCol w:w="27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序号</w:t>
            </w:r>
          </w:p>
        </w:tc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单位名称</w:t>
            </w:r>
          </w:p>
        </w:tc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单位性质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1</w:t>
            </w:r>
          </w:p>
        </w:tc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西安市莲湖区旅游局</w:t>
            </w:r>
          </w:p>
        </w:tc>
        <w:tc>
          <w:tcPr>
            <w:tcW w:w="2779" w:type="dxa"/>
            <w:tcBorders>
              <w:top w:val="outset" w:color="auto" w:sz="8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FFFFFF"/>
            <w:tcMar>
              <w:lef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9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B2B2B"/>
                <w:spacing w:val="0"/>
                <w:sz w:val="18"/>
                <w:szCs w:val="18"/>
              </w:rPr>
              <w:t>　　行政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  2、单位性质、经费管理方式、人员及资产情况。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664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西安市莲湖区旅游局属财政全额拨款的行政单位。无独立核算的二级下属单位。</w:t>
      </w: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8"/>
          <w:szCs w:val="28"/>
          <w:shd w:val="clear" w:fill="FFFFFF"/>
        </w:rPr>
        <w:t>截止201</w:t>
      </w: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2B2B2B"/>
          <w:spacing w:val="0"/>
          <w:sz w:val="28"/>
          <w:szCs w:val="28"/>
          <w:shd w:val="clear" w:fill="FFFFFF"/>
        </w:rPr>
        <w:t>年底，本部门人员编制12人，其中行政编制6人、事业编制6人；实有人员12人，离退休人员1人。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  <w:lang w:eastAsia="zh-CN"/>
        </w:rPr>
        <w:t>年末资产总额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58.6 万元。</w:t>
      </w:r>
    </w:p>
    <w:tbl>
      <w:tblPr>
        <w:tblStyle w:val="3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asci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</w:rPr>
              <w:t>编制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asci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</w:rPr>
              <w:t>行政编制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asci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</w:rPr>
              <w:t>事业编制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asci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</w:rPr>
              <w:t>离退人员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</w:tcPr>
          <w:p>
            <w:pPr>
              <w:spacing w:line="560" w:lineRule="exact"/>
              <w:rPr>
                <w:rFonts w:ascii="仿宋_GB2312" w:eastAsia="仿宋_GB2312" w:cs="仿宋"/>
                <w:sz w:val="32"/>
                <w:szCs w:val="32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</w:rPr>
              <w:t>人数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265" w:type="dxa"/>
          </w:tcPr>
          <w:p>
            <w:pPr>
              <w:spacing w:line="560" w:lineRule="exact"/>
              <w:rPr>
                <w:rFonts w:hint="eastAsia" w:ascii="仿宋_GB2312" w:eastAsia="仿宋_GB2312" w:cs="仿宋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 w:cs="仿宋"/>
                <w:sz w:val="32"/>
                <w:szCs w:val="32"/>
                <w:lang w:val="en-US" w:eastAsia="zh-CN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234315</wp:posOffset>
            </wp:positionV>
            <wp:extent cx="5334000" cy="2457450"/>
            <wp:effectExtent l="4445" t="4445" r="14605" b="14605"/>
            <wp:wrapNone/>
            <wp:docPr id="7" name="对象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截至2018年底人员情况表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二、部门决算公开信息表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1580" w:right="0" w:hanging="94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（一） 2018年度决算收支总表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1580" w:right="0" w:hanging="94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 2018年度部门决算收入总表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1580" w:right="0" w:hanging="948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（三） 2018年度部门决算支出总表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632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（四）2018年度部门决算财政拨款收支总表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（五）2018年度部门决算一般公共预算财政拨款支出表（按功能分类科目）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（六）2018年度部门决算一般公共预算财政拨款基本支出表（按经济分类科目）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（七）2018年度部门决算政府性基金收入支出总表（没有数据的表格应当列出空表并说明）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（八）2018年度部门决算政府性基金预算支出表（没有数据的表格应当列出空表并说明）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（九）2018年度部门决算一般公共预算财政拨款“三公”经费支出及国有资产占用情况表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（十）2018年度部门决算“三公”经费公共预算财政拨款支出上下年增减变化情况表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（十一）2018年度部门决算政府采购情况表（没有数据的表格应当列出空表并说明）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（十二）2018年度部门决算机关运行经费表（没有数据的表格应当列出空表并说明）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三、部门决算情况说明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56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一）2018年度收入支出决算总体情况说明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1．收入总计678.09万元,较上年增107.04万元，主要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原因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是上级拨入项目经费增加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其中：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 （1）公共预算财政拨款收入553.63万元，较上年增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134.88万元,主要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原因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是上级拨入项目经费增加。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（2）我局无政府性基金收入。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 （3）我局无事业收入。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（4）我局无经营收入。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right="0" w:firstLine="320" w:firstLineChars="1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其他收入12.71元，较上年减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27.84万元，主要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原因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是节约开支。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（6）我局无事业基金弥补收支差额。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right="0" w:firstLine="64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（7）上年结转和结余111.75万元,为以前年度尚未列支，结转到本年仍按按规定用途继续使用的资金，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2．支出总计677.59万元，较上年增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382.24万元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主要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原因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是上级拨入项目经费增加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其中：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（1）基本支出144.64万元，主要是为保障机构正常运转、完成日常工作任务而发生的各项支出，较上年减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41.96万元，变化原因是节约开支。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（2）项目支出532.95万元，主要是为完成特定的行政工作任务或事业发展目标，在基本支出之外发生的支出，较上年增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424.2万元，主要是项目拨款增加。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（3）年末结转和结余0.5万元,主要是本年或以前年度预算安排、因客观条件发生变化无法按计划实施，需延迟到以后年度按原规定用途继续使用的资金。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3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（二）2018年度财政拨款收入支出总体情况说明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1．财政拨款收入支出总体情况及上下年增减情况，分析增减变化的原因。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2018年度一般公共预算财政拨款收入553.6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万元，其中：基本支出131.37万元，项目支出532.95万元，较上年增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297.75万元，主要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原因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是项目拨款增加。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2．一般公共预算财政拨款支出情况。（按支出功能分类科目进行详细说明支出具体内容）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（1）行政运行支出131.37万元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,较上年减少15.73万元，主要原因是节余开支。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（2）一般行政管理事务47.3万元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较上年减少7.2万元，主要原因是节余开支。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（3）其他旅游业管理与服务支出485.65万元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较上年增加431.4万元，主要原因是项目经费支出增加。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3、一般公共预算财政拨款基本支出决算情况。（按人员经费和公用经费分别进行说明）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人员经费：117.66万元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按照支出经济科目分类，工资福利支出167.2万元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，较上年减少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7.73万元，主要原因是人员变动，节约开支。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公用经费：13.71万元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按照支出经济科目分类，商品和服务支出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13.71万元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，较上年减少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8.02万元，主要原因是节约开支。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 4、政府性基金预算财政拨款收入支出情况说明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 本部门无政府性基金决算收支，并已公开空表。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right="0" w:firstLine="643" w:firstLineChars="20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（三）2018年度“三公”经费支出情况说明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right="0" w:firstLine="640" w:firstLineChars="200"/>
        <w:jc w:val="left"/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2018年度一般公共预算财政拨款安排的“三公”经费支出中，因公出国（境）费支出0万元，占“三公”经费的0%；公务用车购置及运行费支出 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1.09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万元，占“三公”经费的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100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%。“三公经费”支出严格逐年递减的原则，尽量减少支出，确保“三公经费”合理支出。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具体情况如下：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因公出国（境）费为零，与上年比无变化。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公务用车运行费1.1万元，比2017年增0.23万元，主要执法力度加大。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3、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公务接待费为零，与上年比无变化。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（四）政府采购支出情况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本部门2018年无政府采购支出。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（五）重点项目预算的绩效评价情况（有则填，无则不填）。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我局2018年无重点项目的预算绩效,不涉及预算绩效项目的收入支出。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321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（六）机构运行经费支出情况说明及增减变化原因。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36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B2B2B"/>
          <w:spacing w:val="0"/>
          <w:sz w:val="24"/>
          <w:szCs w:val="24"/>
          <w:shd w:val="clear" w:fill="FFFFFF"/>
        </w:rPr>
        <w:t>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2018年，我单位机构运行经费支出13.71万元，较上年减少8万元，主要是厉行勤俭节约，办公成本降低。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（七）国有资产占用及购置情况说明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36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截至2018年末，本部门所属单位共有车辆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辆；单价50万元以上的通用设备0台（套）；单价100万元以上的通用设备0台（套）。2018年当年购置车辆0辆；购置单价50万元以上的设备0台（套）；购置单价100万元以上的通用设备0台（套）。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（八）国有资本经营财政拨款收支情况说明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本部门无国有资本经营决算拨款收支。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2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（九）专业名词解释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8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1.三公经费：指财政拨款支出安排的出国（境）费、车辆购置及运行费、公务接待费这三项经费。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2.机关运行经费：指为保障单位运行用于购买货物和服务的各项资金，包括办公及印刷费、邮电费、手续费、邮电费、维修（护）费、差旅费、培训费、委托业务费、工会经费等。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3.基本支出：包括人员经费和日常公用经费两部分。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其中：人员经费包括基本工资、津补贴、其他工资、职工福利费和社会保障费等；公用经费包括公务费、委托业务费和宣传印刷费等。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4.项目支出：项目支出是除基本预算支出以外财政预算专项专款安排的支出。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  <w:t>包括专项业务费、涉旅企业申请的项目资金等。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rPr>
          <w:rFonts w:hint="eastAsia" w:ascii="仿宋_GB2312" w:hAnsi="微软雅黑" w:eastAsia="仿宋_GB2312" w:cs="仿宋_GB2312"/>
          <w:i w:val="0"/>
          <w:iCs w:val="0"/>
          <w:caps w:val="0"/>
          <w:color w:val="2B2B2B"/>
          <w:spacing w:val="0"/>
          <w:sz w:val="32"/>
          <w:szCs w:val="32"/>
          <w:shd w:val="clear" w:fill="FFFFFF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jc w:val="left"/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相关附件：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90" w:afterAutospacing="0"/>
        <w:ind w:left="0" w:right="0" w:firstLine="480"/>
        <w:jc w:val="left"/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西安市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begin"/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instrText xml:space="preserve"> HYPERLINK "http://www.lianhu.gov.cn/web_files/www.lianhu.gov.cn/attachment/2019/09/13201909180907017.xls" \t "http://www.lianhu.gov.cn/ztzl/qjbmyjsml/2018nczjs/_blank" </w:instrTex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separate"/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莲湖区旅游局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2018年决算公开附表.xls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71761"/>
    <w:rsid w:val="0B6A0977"/>
    <w:rsid w:val="0D92099F"/>
    <w:rsid w:val="109C554B"/>
    <w:rsid w:val="22EF612C"/>
    <w:rsid w:val="29DD5A3D"/>
    <w:rsid w:val="34674242"/>
    <w:rsid w:val="41411918"/>
    <w:rsid w:val="427F79FF"/>
    <w:rsid w:val="43A14BFB"/>
    <w:rsid w:val="522541EC"/>
    <w:rsid w:val="52580FB0"/>
    <w:rsid w:val="566E1AEB"/>
    <w:rsid w:val="5BDC2994"/>
    <w:rsid w:val="5E8664BF"/>
    <w:rsid w:val="65D11157"/>
    <w:rsid w:val="6790215D"/>
    <w:rsid w:val="7294799B"/>
    <w:rsid w:val="73E842CF"/>
    <w:rsid w:val="74D46C37"/>
    <w:rsid w:val="7525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Workbook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0" i="0" u="none" strike="noStrike" kern="1200" baseline="0">
                <a:solidFill>
                  <a:srgbClr val="595959"/>
                </a:solidFill>
                <a:latin typeface="Times New Roman" panose="02020603050405020304"/>
                <a:ea typeface="宋体" panose="02010600030101010101" charset="-122"/>
                <a:cs typeface="Arial" panose="020B0604020202020204" pitchFamily="2"/>
              </a:defRPr>
            </a:pPr>
            <a:r>
              <a:rPr lang="zh-CN"/>
              <a:t>人数</a:t>
            </a:r>
            <a:endParaRPr lang="zh-CN"/>
          </a:p>
        </c:rich>
      </c:tx>
      <c:layout/>
      <c:overlay val="0"/>
      <c:spPr>
        <a:noFill/>
        <a:ln>
          <a:noFill/>
        </a:ln>
      </c:sp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人数</c:v>
                </c:pt>
              </c:strCache>
            </c:strRef>
          </c:tx>
          <c:spPr>
            <a:ln>
              <a:noFill/>
            </a:ln>
          </c:spPr>
          <c:explosion val="0"/>
          <c:dPt>
            <c:idx val="0"/>
            <c:bubble3D val="0"/>
            <c:spPr>
              <a:solidFill>
                <a:srgbClr val="4F81BD"/>
              </a:solidFill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1"/>
            <c:bubble3D val="0"/>
            <c:spPr>
              <a:solidFill>
                <a:srgbClr val="C0504D"/>
              </a:solidFill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2"/>
            <c:bubble3D val="0"/>
            <c:spPr>
              <a:solidFill>
                <a:srgbClr val="9BBB59"/>
              </a:solidFill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3"/>
            <c:bubble3D val="0"/>
            <c:spPr>
              <a:solidFill>
                <a:srgbClr val="8064A2"/>
              </a:solidFill>
              <a:ln w="19050">
                <a:solidFill>
                  <a:srgbClr val="FFFFFF"/>
                </a:solidFill>
                <a:prstDash val="solid"/>
              </a:ln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rgbClr val="000000"/>
                    </a:solidFill>
                    <a:latin typeface="Times New Roman" panose="02020603050405020304"/>
                    <a:ea typeface="宋体" panose="02010600030101010101" charset="-122"/>
                    <a:cs typeface="Arial" panose="020B0604020202020204" pitchFamily="2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行政编制</c:v>
                </c:pt>
                <c:pt idx="1">
                  <c:v>事业编制</c:v>
                </c:pt>
                <c:pt idx="2">
                  <c:v>离退人员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6</c:v>
                </c:pt>
                <c:pt idx="1">
                  <c:v>6</c:v>
                </c:pt>
                <c:pt idx="2">
                  <c:v>1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列2</c:v>
                </c:pt>
              </c:strCache>
            </c:strRef>
          </c:tx>
          <c:spPr>
            <a:ln>
              <a:noFill/>
            </a:ln>
          </c:spPr>
          <c:explosion val="0"/>
          <c:dPt>
            <c:idx val="0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1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2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3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rgbClr val="000000"/>
                    </a:solidFill>
                    <a:latin typeface="Times New Roman" panose="02020603050405020304"/>
                    <a:ea typeface="宋体" panose="02010600030101010101" charset="-122"/>
                    <a:cs typeface="Arial" panose="020B0604020202020204" pitchFamily="2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行政编制</c:v>
                </c:pt>
                <c:pt idx="1">
                  <c:v>事业编制</c:v>
                </c:pt>
                <c:pt idx="2">
                  <c:v>离退人员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列3</c:v>
                </c:pt>
              </c:strCache>
            </c:strRef>
          </c:tx>
          <c:spPr>
            <a:ln>
              <a:noFill/>
            </a:ln>
          </c:spPr>
          <c:explosion val="0"/>
          <c:dPt>
            <c:idx val="0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1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2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Pt>
            <c:idx val="3"/>
            <c:bubble3D val="0"/>
            <c:spPr>
              <a:ln w="19050">
                <a:solidFill>
                  <a:srgbClr val="FFFFFF"/>
                </a:solidFill>
                <a:prstDash val="solid"/>
              </a:ln>
            </c:spPr>
          </c:dPt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rgbClr val="000000"/>
                    </a:solidFill>
                    <a:latin typeface="Times New Roman" panose="02020603050405020304"/>
                    <a:ea typeface="宋体" panose="02010600030101010101" charset="-122"/>
                    <a:cs typeface="Arial" panose="020B0604020202020204" pitchFamily="2"/>
                  </a:defRPr>
                </a:pPr>
              </a:p>
            </c:txPr>
            <c:dLblPos val="bestFit"/>
            <c:showLegendKey val="0"/>
            <c:showVal val="0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strRef>
              <c:f>Sheet1!$A$2:$A$5</c:f>
              <c:strCache>
                <c:ptCount val="4"/>
                <c:pt idx="0">
                  <c:v>行政编制</c:v>
                </c:pt>
                <c:pt idx="1">
                  <c:v>事业编制</c:v>
                </c:pt>
                <c:pt idx="2">
                  <c:v>离退人员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</c:spPr>
    </c:plotArea>
    <c:legend>
      <c:legendPos val="b"/>
      <c:layout/>
      <c:overlay val="0"/>
      <c:spPr>
        <a:noFill/>
        <a:ln>
          <a:noFill/>
        </a:ln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rgbClr val="595959"/>
              </a:solidFill>
              <a:latin typeface="Times New Roman" panose="02020603050405020304"/>
              <a:ea typeface="宋体" panose="02010600030101010101" charset="-122"/>
              <a:cs typeface="Arial" panose="020B0604020202020204" pitchFamily="2"/>
            </a:defRPr>
          </a:pPr>
        </a:p>
      </c:txPr>
    </c:legend>
    <c:plotVisOnly val="1"/>
    <c:dispBlanksAs val="zero"/>
    <c:showDLblsOverMax val="0"/>
  </c:chart>
  <c:spPr>
    <a:solidFill>
      <a:srgbClr val="FFFFFF"/>
    </a:solidFill>
    <a:ln w="6350" cap="flat" cmpd="sng" algn="ctr">
      <a:solidFill>
        <a:srgbClr val="D9D9D9"/>
      </a:solidFill>
      <a:prstDash val="solid"/>
      <a:round/>
    </a:ln>
  </c:spPr>
  <c:txPr>
    <a:bodyPr/>
    <a:lstStyle/>
    <a:p>
      <a:pPr>
        <a:defRPr lang="zh-CN" sz="1000" b="0" i="0" u="none" strike="noStrike" baseline="0">
          <a:solidFill>
            <a:srgbClr val="000000"/>
          </a:solidFill>
          <a:latin typeface="Times New Roman" panose="02020603050405020304"/>
          <a:ea typeface="宋体" panose="02010600030101010101" charset="-122"/>
          <a:cs typeface="Arial" panose="020B0604020202020204" pitchFamily="2"/>
        </a:defRPr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2021-05-26T04:59:00Z</dcterms:created>
  <dc:creator>admin</dc:creator>
  <cp:lastModifiedBy>海宁</cp:lastModifiedBy>
  <dcterms:modified xsi:type="dcterms:W3CDTF">2021-05-26T07:36:47Z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E6F19D699E134CBFA8657D01142DF94F</vt:lpwstr>
  </property>
</Properties>
</file>