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line="560" w:lineRule="exact"/>
        <w:rPr>
          <w:rFonts w:ascii="方正小标宋简体" w:eastAsia="方正小标宋简体"/>
          <w:color w:val="333333"/>
          <w:kern w:val="36"/>
          <w:sz w:val="30"/>
          <w:szCs w:val="30"/>
        </w:rPr>
      </w:pPr>
      <w:r>
        <w:rPr>
          <w:rFonts w:hint="eastAsia" w:ascii="方正小标宋简体" w:eastAsia="方正小标宋简体"/>
          <w:color w:val="333333"/>
          <w:kern w:val="36"/>
          <w:sz w:val="30"/>
          <w:szCs w:val="30"/>
        </w:rPr>
        <w:t>附件1</w:t>
      </w:r>
    </w:p>
    <w:p>
      <w:pPr>
        <w:pStyle w:val="8"/>
        <w:spacing w:line="560" w:lineRule="exact"/>
        <w:jc w:val="center"/>
        <w:rPr>
          <w:rFonts w:ascii="方正小标宋简体" w:eastAsia="方正小标宋简体"/>
          <w:color w:val="333333"/>
          <w:kern w:val="36"/>
          <w:sz w:val="44"/>
          <w:szCs w:val="44"/>
        </w:rPr>
      </w:pPr>
      <w:r>
        <w:rPr>
          <w:rFonts w:hint="eastAsia" w:ascii="方正小标宋简体" w:eastAsia="方正小标宋简体"/>
          <w:color w:val="333333"/>
          <w:kern w:val="36"/>
          <w:sz w:val="44"/>
          <w:szCs w:val="44"/>
        </w:rPr>
        <w:t>西安市莲湖区旅游局</w:t>
      </w:r>
    </w:p>
    <w:p>
      <w:pPr>
        <w:pStyle w:val="8"/>
        <w:spacing w:line="560" w:lineRule="exact"/>
        <w:ind w:firstLine="1540" w:firstLineChars="350"/>
        <w:jc w:val="both"/>
        <w:rPr>
          <w:rFonts w:ascii="方正小标宋简体" w:eastAsia="方正小标宋简体"/>
          <w:color w:val="333333"/>
          <w:sz w:val="44"/>
          <w:szCs w:val="44"/>
        </w:rPr>
      </w:pPr>
      <w:r>
        <w:rPr>
          <w:rFonts w:hint="eastAsia" w:ascii="方正小标宋简体" w:eastAsia="方正小标宋简体"/>
          <w:color w:val="333333"/>
          <w:kern w:val="36"/>
          <w:sz w:val="44"/>
          <w:szCs w:val="44"/>
        </w:rPr>
        <w:t>2019年度部门决算公开说明</w:t>
      </w:r>
    </w:p>
    <w:p>
      <w:pPr>
        <w:pStyle w:val="8"/>
        <w:ind w:firstLine="360" w:firstLineChars="200"/>
        <w:rPr>
          <w:rFonts w:ascii="仿宋_GB2312" w:eastAsia="仿宋_GB2312"/>
          <w:color w:val="000000"/>
          <w:sz w:val="18"/>
          <w:szCs w:val="18"/>
        </w:rPr>
      </w:pPr>
    </w:p>
    <w:p>
      <w:pPr>
        <w:ind w:right="880" w:firstLine="640" w:firstLineChars="200"/>
        <w:textAlignment w:val="center"/>
        <w:rPr>
          <w:rFonts w:ascii="黑体" w:eastAsia="黑体"/>
          <w:color w:val="000000"/>
          <w:sz w:val="32"/>
          <w:szCs w:val="32"/>
        </w:rPr>
      </w:pPr>
      <w:r>
        <w:rPr>
          <w:rFonts w:hint="eastAsia" w:ascii="黑体" w:eastAsia="黑体"/>
          <w:color w:val="000000"/>
          <w:sz w:val="32"/>
          <w:szCs w:val="32"/>
        </w:rPr>
        <w:t>第一部分 部门概况</w:t>
      </w:r>
    </w:p>
    <w:p>
      <w:pPr>
        <w:pStyle w:val="8"/>
        <w:spacing w:line="560" w:lineRule="exact"/>
        <w:ind w:firstLine="640" w:firstLineChars="200"/>
        <w:rPr>
          <w:rFonts w:ascii="黑体" w:eastAsia="黑体" w:cs="楷体"/>
          <w:bCs/>
          <w:color w:val="000000"/>
          <w:sz w:val="32"/>
          <w:szCs w:val="32"/>
        </w:rPr>
      </w:pPr>
      <w:r>
        <w:rPr>
          <w:rFonts w:hint="eastAsia" w:ascii="黑体" w:eastAsia="黑体" w:cs="楷体"/>
          <w:bCs/>
          <w:color w:val="000000"/>
          <w:sz w:val="32"/>
          <w:szCs w:val="32"/>
        </w:rPr>
        <w:t>一、部门主要职责及内设机构</w:t>
      </w:r>
    </w:p>
    <w:p>
      <w:pPr>
        <w:pStyle w:val="8"/>
        <w:spacing w:line="560" w:lineRule="exact"/>
        <w:ind w:firstLine="643" w:firstLineChars="200"/>
        <w:rPr>
          <w:rFonts w:ascii="楷体" w:eastAsia="楷体" w:cs="楷体"/>
          <w:b/>
          <w:bCs/>
          <w:color w:val="000000"/>
          <w:sz w:val="32"/>
          <w:szCs w:val="32"/>
        </w:rPr>
      </w:pPr>
      <w:r>
        <w:rPr>
          <w:rFonts w:hint="eastAsia" w:ascii="楷体" w:eastAsia="楷体" w:cs="楷体"/>
          <w:b/>
          <w:bCs/>
          <w:color w:val="000000"/>
          <w:sz w:val="32"/>
          <w:szCs w:val="32"/>
        </w:rPr>
        <w:t>（一）主要职责</w:t>
      </w:r>
    </w:p>
    <w:p>
      <w:pPr>
        <w:spacing w:line="560" w:lineRule="exact"/>
        <w:ind w:firstLine="664" w:firstLineChars="200"/>
        <w:rPr>
          <w:rFonts w:ascii="仿宋_GB2312" w:eastAsia="仿宋_GB2312"/>
          <w:spacing w:val="6"/>
          <w:sz w:val="32"/>
          <w:szCs w:val="32"/>
        </w:rPr>
      </w:pPr>
      <w:r>
        <w:rPr>
          <w:rFonts w:ascii="仿宋_GB2312" w:eastAsia="仿宋_GB2312" w:cs="仿宋_GB2312"/>
          <w:spacing w:val="6"/>
          <w:sz w:val="32"/>
          <w:szCs w:val="32"/>
        </w:rPr>
        <w:t>1</w:t>
      </w:r>
      <w:r>
        <w:rPr>
          <w:rFonts w:hint="eastAsia" w:ascii="仿宋_GB2312" w:eastAsia="仿宋_GB2312" w:cs="仿宋_GB2312"/>
          <w:spacing w:val="6"/>
          <w:sz w:val="32"/>
          <w:szCs w:val="32"/>
        </w:rPr>
        <w:t>、贯彻执行有关旅游业的法律法规和方针政策，起草本区旅游工作的规范性文件，并组织实施。</w:t>
      </w:r>
    </w:p>
    <w:p>
      <w:pPr>
        <w:spacing w:line="560" w:lineRule="exact"/>
        <w:ind w:firstLine="664" w:firstLineChars="200"/>
        <w:rPr>
          <w:rFonts w:ascii="仿宋_GB2312" w:eastAsia="仿宋_GB2312"/>
          <w:spacing w:val="6"/>
          <w:sz w:val="32"/>
          <w:szCs w:val="32"/>
        </w:rPr>
      </w:pPr>
      <w:r>
        <w:rPr>
          <w:rFonts w:ascii="仿宋_GB2312" w:eastAsia="仿宋_GB2312" w:cs="仿宋_GB2312"/>
          <w:spacing w:val="6"/>
          <w:sz w:val="32"/>
          <w:szCs w:val="32"/>
        </w:rPr>
        <w:t>2</w:t>
      </w:r>
      <w:r>
        <w:rPr>
          <w:rFonts w:hint="eastAsia" w:ascii="仿宋_GB2312" w:eastAsia="仿宋_GB2312" w:cs="仿宋_GB2312"/>
          <w:spacing w:val="6"/>
          <w:sz w:val="32"/>
          <w:szCs w:val="32"/>
        </w:rPr>
        <w:t>、统筹协调全区旅游业发展，编制全区旅游发展规划并组织实施；拟订全区旅游市场宣传促销计划，组织全区旅游整体形象的对外宣传和重大推广活动。</w:t>
      </w:r>
    </w:p>
    <w:p>
      <w:pPr>
        <w:spacing w:line="560" w:lineRule="exact"/>
        <w:ind w:firstLine="664" w:firstLineChars="200"/>
        <w:rPr>
          <w:rFonts w:ascii="仿宋_GB2312" w:eastAsia="仿宋_GB2312"/>
          <w:spacing w:val="6"/>
          <w:sz w:val="32"/>
          <w:szCs w:val="32"/>
        </w:rPr>
      </w:pPr>
      <w:r>
        <w:rPr>
          <w:rFonts w:ascii="仿宋_GB2312" w:eastAsia="仿宋_GB2312" w:cs="仿宋_GB2312"/>
          <w:spacing w:val="6"/>
          <w:sz w:val="32"/>
          <w:szCs w:val="32"/>
        </w:rPr>
        <w:t>3</w:t>
      </w:r>
      <w:r>
        <w:rPr>
          <w:rFonts w:hint="eastAsia" w:ascii="仿宋_GB2312" w:eastAsia="仿宋_GB2312" w:cs="仿宋_GB2312"/>
          <w:spacing w:val="6"/>
          <w:sz w:val="32"/>
          <w:szCs w:val="32"/>
        </w:rPr>
        <w:t>、组织全区旅游资源的普查工作；指导重点旅游区域、旅游目的地和旅游线路的规划开发，引导休闲度假</w:t>
      </w:r>
      <w:r>
        <w:rPr>
          <w:rFonts w:ascii="仿宋_GB2312" w:eastAsia="仿宋_GB2312" w:cs="仿宋_GB2312"/>
          <w:spacing w:val="6"/>
          <w:sz w:val="32"/>
          <w:szCs w:val="32"/>
        </w:rPr>
        <w:t>;</w:t>
      </w:r>
      <w:r>
        <w:rPr>
          <w:rFonts w:hint="eastAsia" w:ascii="仿宋_GB2312" w:eastAsia="仿宋_GB2312" w:cs="仿宋_GB2312"/>
          <w:spacing w:val="6"/>
          <w:sz w:val="32"/>
          <w:szCs w:val="32"/>
        </w:rPr>
        <w:t>负责旅游旅游节庆、展会活动的策划和组织实施；协调和指导假日旅游和红色旅游工作。</w:t>
      </w:r>
    </w:p>
    <w:p>
      <w:pPr>
        <w:spacing w:line="560" w:lineRule="exact"/>
        <w:ind w:firstLine="664" w:firstLineChars="200"/>
        <w:rPr>
          <w:rFonts w:ascii="仿宋_GB2312" w:eastAsia="仿宋_GB2312"/>
          <w:spacing w:val="6"/>
          <w:sz w:val="32"/>
          <w:szCs w:val="32"/>
        </w:rPr>
      </w:pPr>
      <w:r>
        <w:rPr>
          <w:rFonts w:ascii="仿宋_GB2312" w:eastAsia="仿宋_GB2312" w:cs="仿宋_GB2312"/>
          <w:spacing w:val="6"/>
          <w:sz w:val="32"/>
          <w:szCs w:val="32"/>
        </w:rPr>
        <w:t>4</w:t>
      </w:r>
      <w:r>
        <w:rPr>
          <w:rFonts w:hint="eastAsia" w:ascii="仿宋_GB2312" w:eastAsia="仿宋_GB2312" w:cs="仿宋_GB2312"/>
          <w:spacing w:val="6"/>
          <w:sz w:val="32"/>
          <w:szCs w:val="32"/>
        </w:rPr>
        <w:t>、组织指导旅游业同相关产业融合发展；推进旅游体制机制改革；研究制定推进全区旅游产业结构调整的政策措施。</w:t>
      </w:r>
    </w:p>
    <w:p>
      <w:pPr>
        <w:spacing w:line="560" w:lineRule="exact"/>
        <w:ind w:firstLine="664" w:firstLineChars="200"/>
        <w:rPr>
          <w:rFonts w:ascii="仿宋_GB2312" w:eastAsia="仿宋_GB2312"/>
          <w:spacing w:val="6"/>
          <w:sz w:val="32"/>
          <w:szCs w:val="32"/>
        </w:rPr>
      </w:pPr>
      <w:r>
        <w:rPr>
          <w:rFonts w:ascii="仿宋_GB2312" w:eastAsia="仿宋_GB2312" w:cs="仿宋_GB2312"/>
          <w:spacing w:val="6"/>
          <w:sz w:val="32"/>
          <w:szCs w:val="32"/>
        </w:rPr>
        <w:t>5</w:t>
      </w:r>
      <w:r>
        <w:rPr>
          <w:rFonts w:hint="eastAsia" w:ascii="仿宋_GB2312" w:eastAsia="仿宋_GB2312" w:cs="仿宋_GB2312"/>
          <w:spacing w:val="6"/>
          <w:sz w:val="32"/>
          <w:szCs w:val="32"/>
        </w:rPr>
        <w:t>、承担规范全区旅游市场秩序、监督管理服务质量、维护旅游消费者和经营者合法权益的责任。规范全区旅游企业和从业人员的经营和服务行为；组织实施全区旅游设施、旅游服务和旅游产品等方面的服务标准；负责全区旅游安全的综合协调和监督管理，协调开展旅游应急救援工作。</w:t>
      </w:r>
    </w:p>
    <w:p>
      <w:pPr>
        <w:spacing w:line="560" w:lineRule="exact"/>
        <w:ind w:firstLine="664" w:firstLineChars="200"/>
        <w:rPr>
          <w:rFonts w:ascii="仿宋_GB2312" w:eastAsia="仿宋_GB2312"/>
          <w:spacing w:val="6"/>
          <w:sz w:val="32"/>
          <w:szCs w:val="32"/>
        </w:rPr>
      </w:pPr>
      <w:r>
        <w:rPr>
          <w:rFonts w:ascii="仿宋_GB2312" w:eastAsia="仿宋_GB2312" w:cs="仿宋_GB2312"/>
          <w:spacing w:val="6"/>
          <w:sz w:val="32"/>
          <w:szCs w:val="32"/>
        </w:rPr>
        <w:t>6</w:t>
      </w:r>
      <w:r>
        <w:rPr>
          <w:rFonts w:hint="eastAsia" w:ascii="仿宋_GB2312" w:eastAsia="仿宋_GB2312" w:cs="仿宋_GB2312"/>
          <w:spacing w:val="6"/>
          <w:sz w:val="32"/>
          <w:szCs w:val="32"/>
        </w:rPr>
        <w:t>、负责对旅行社门市部备案和分支机构的监督管理。</w:t>
      </w:r>
    </w:p>
    <w:p>
      <w:pPr>
        <w:spacing w:line="560" w:lineRule="exact"/>
        <w:ind w:firstLine="664" w:firstLineChars="200"/>
        <w:rPr>
          <w:rFonts w:ascii="仿宋_GB2312" w:eastAsia="仿宋_GB2312"/>
          <w:spacing w:val="6"/>
          <w:sz w:val="32"/>
          <w:szCs w:val="32"/>
        </w:rPr>
      </w:pPr>
      <w:r>
        <w:rPr>
          <w:rFonts w:ascii="仿宋_GB2312" w:eastAsia="仿宋_GB2312" w:cs="仿宋_GB2312"/>
          <w:spacing w:val="6"/>
          <w:sz w:val="32"/>
          <w:szCs w:val="32"/>
        </w:rPr>
        <w:t>7</w:t>
      </w:r>
      <w:r>
        <w:rPr>
          <w:rFonts w:hint="eastAsia" w:ascii="仿宋_GB2312" w:eastAsia="仿宋_GB2312" w:cs="仿宋_GB2312"/>
          <w:spacing w:val="6"/>
          <w:sz w:val="32"/>
          <w:szCs w:val="32"/>
        </w:rPr>
        <w:t>、负责全区旅游公共服务和信息化建设；负责监测全区旅游经济运行、旅游统计和行业信息发布工作；指导全区旅游行业精神文明建设和诚信体系建设。</w:t>
      </w:r>
    </w:p>
    <w:p>
      <w:pPr>
        <w:spacing w:line="560" w:lineRule="exact"/>
        <w:ind w:firstLine="664" w:firstLineChars="200"/>
        <w:rPr>
          <w:rFonts w:ascii="仿宋_GB2312" w:eastAsia="仿宋_GB2312"/>
          <w:spacing w:val="6"/>
          <w:sz w:val="32"/>
          <w:szCs w:val="32"/>
        </w:rPr>
      </w:pPr>
      <w:r>
        <w:rPr>
          <w:rFonts w:ascii="仿宋_GB2312" w:eastAsia="仿宋_GB2312" w:cs="仿宋_GB2312"/>
          <w:spacing w:val="6"/>
          <w:sz w:val="32"/>
          <w:szCs w:val="32"/>
        </w:rPr>
        <w:t>8</w:t>
      </w:r>
      <w:r>
        <w:rPr>
          <w:rFonts w:hint="eastAsia" w:ascii="仿宋_GB2312" w:eastAsia="仿宋_GB2312" w:cs="仿宋_GB2312"/>
          <w:spacing w:val="6"/>
          <w:sz w:val="32"/>
          <w:szCs w:val="32"/>
        </w:rPr>
        <w:t>、指导区旅游协会等行业组织的业务工作，开展旅游项目招商引资工作。</w:t>
      </w:r>
    </w:p>
    <w:p>
      <w:pPr>
        <w:spacing w:line="560" w:lineRule="exact"/>
        <w:ind w:firstLine="664" w:firstLineChars="200"/>
        <w:rPr>
          <w:rFonts w:ascii="仿宋_GB2312" w:eastAsia="仿宋_GB2312"/>
          <w:spacing w:val="6"/>
          <w:sz w:val="32"/>
          <w:szCs w:val="32"/>
        </w:rPr>
      </w:pPr>
      <w:r>
        <w:rPr>
          <w:rFonts w:ascii="仿宋_GB2312" w:eastAsia="仿宋_GB2312" w:cs="仿宋_GB2312"/>
          <w:spacing w:val="6"/>
          <w:sz w:val="32"/>
          <w:szCs w:val="32"/>
        </w:rPr>
        <w:t>9</w:t>
      </w:r>
      <w:r>
        <w:rPr>
          <w:rFonts w:hint="eastAsia" w:ascii="仿宋_GB2312" w:eastAsia="仿宋_GB2312" w:cs="仿宋_GB2312"/>
          <w:spacing w:val="6"/>
          <w:sz w:val="32"/>
          <w:szCs w:val="32"/>
        </w:rPr>
        <w:t>、负责对省、市、区综合考核、专业考核指标日常监测、统计和报送，全面完成考核任务。</w:t>
      </w:r>
    </w:p>
    <w:p>
      <w:pPr>
        <w:spacing w:line="560" w:lineRule="exact"/>
        <w:ind w:firstLine="664" w:firstLineChars="200"/>
        <w:rPr>
          <w:rFonts w:ascii="仿宋_GB2312" w:eastAsia="仿宋_GB2312" w:cs="仿宋_GB2312"/>
          <w:spacing w:val="6"/>
          <w:sz w:val="32"/>
          <w:szCs w:val="32"/>
        </w:rPr>
      </w:pPr>
      <w:r>
        <w:rPr>
          <w:rFonts w:ascii="仿宋_GB2312" w:eastAsia="仿宋_GB2312" w:cs="仿宋_GB2312"/>
          <w:spacing w:val="6"/>
          <w:sz w:val="32"/>
          <w:szCs w:val="32"/>
        </w:rPr>
        <w:t>10</w:t>
      </w:r>
      <w:r>
        <w:rPr>
          <w:rFonts w:hint="eastAsia" w:ascii="仿宋_GB2312" w:eastAsia="仿宋_GB2312" w:cs="仿宋_GB2312"/>
          <w:spacing w:val="6"/>
          <w:sz w:val="32"/>
          <w:szCs w:val="32"/>
        </w:rPr>
        <w:t>、承办区政府交办的其他事项。</w:t>
      </w:r>
    </w:p>
    <w:p>
      <w:pPr>
        <w:pStyle w:val="8"/>
        <w:spacing w:line="560" w:lineRule="exact"/>
        <w:ind w:firstLine="643" w:firstLineChars="200"/>
        <w:rPr>
          <w:rFonts w:ascii="楷体" w:eastAsia="楷体" w:cs="楷体"/>
          <w:b/>
          <w:bCs/>
          <w:color w:val="000000"/>
          <w:sz w:val="32"/>
          <w:szCs w:val="32"/>
        </w:rPr>
      </w:pPr>
      <w:r>
        <w:rPr>
          <w:rFonts w:hint="eastAsia" w:ascii="楷体" w:eastAsia="楷体" w:cs="楷体"/>
          <w:b/>
          <w:bCs/>
          <w:color w:val="000000"/>
          <w:sz w:val="32"/>
          <w:szCs w:val="32"/>
        </w:rPr>
        <w:t>（二）内设机构</w:t>
      </w:r>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
      <w:tblGrid>
        <w:gridCol w:w="3015"/>
        <w:gridCol w:w="531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3015" w:type="dxa"/>
            <w:tcBorders>
              <w:top w:val="outset" w:color="auto" w:sz="6" w:space="0"/>
              <w:left w:val="outset" w:color="auto" w:sz="6" w:space="0"/>
              <w:bottom w:val="outset" w:color="auto" w:sz="6" w:space="0"/>
              <w:right w:val="outset" w:color="auto" w:sz="6" w:space="0"/>
            </w:tcBorders>
            <w:shd w:val="clear" w:color="auto" w:fill="FFFFFF"/>
          </w:tcPr>
          <w:p>
            <w:pPr>
              <w:pStyle w:val="8"/>
              <w:jc w:val="center"/>
              <w:rPr>
                <w:color w:val="2B2B2B"/>
              </w:rPr>
            </w:pPr>
            <w:r>
              <w:rPr>
                <w:rFonts w:hint="eastAsia" w:ascii="微软雅黑" w:eastAsia="微软雅黑" w:cs="微软雅黑"/>
                <w:color w:val="2B2B2B"/>
                <w:sz w:val="18"/>
                <w:szCs w:val="18"/>
              </w:rPr>
              <w:t>　　序号</w:t>
            </w:r>
          </w:p>
        </w:tc>
        <w:tc>
          <w:tcPr>
            <w:tcW w:w="5310" w:type="dxa"/>
            <w:tcBorders>
              <w:top w:val="outset" w:color="auto" w:sz="6" w:space="0"/>
              <w:left w:val="outset" w:color="auto" w:sz="6" w:space="0"/>
              <w:bottom w:val="outset" w:color="auto" w:sz="6" w:space="0"/>
              <w:right w:val="outset" w:color="auto" w:sz="6" w:space="0"/>
            </w:tcBorders>
            <w:shd w:val="clear" w:color="auto" w:fill="FFFFFF"/>
          </w:tcPr>
          <w:p>
            <w:pPr>
              <w:pStyle w:val="8"/>
              <w:jc w:val="center"/>
              <w:rPr>
                <w:color w:val="2B2B2B"/>
              </w:rPr>
            </w:pPr>
            <w:r>
              <w:rPr>
                <w:rFonts w:hint="eastAsia" w:ascii="微软雅黑" w:eastAsia="微软雅黑" w:cs="微软雅黑"/>
                <w:color w:val="2B2B2B"/>
                <w:sz w:val="18"/>
                <w:szCs w:val="18"/>
              </w:rPr>
              <w:t>　　科室名称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3015" w:type="dxa"/>
            <w:tcBorders>
              <w:top w:val="outset" w:color="auto" w:sz="6" w:space="0"/>
              <w:left w:val="outset" w:color="auto" w:sz="6" w:space="0"/>
              <w:bottom w:val="outset" w:color="auto" w:sz="6" w:space="0"/>
              <w:right w:val="outset" w:color="auto" w:sz="6" w:space="0"/>
            </w:tcBorders>
            <w:shd w:val="clear" w:color="auto" w:fill="FFFFFF"/>
          </w:tcPr>
          <w:p>
            <w:pPr>
              <w:pStyle w:val="8"/>
              <w:jc w:val="center"/>
              <w:rPr>
                <w:color w:val="2B2B2B"/>
              </w:rPr>
            </w:pPr>
            <w:r>
              <w:rPr>
                <w:rFonts w:hint="eastAsia" w:ascii="微软雅黑" w:eastAsia="微软雅黑" w:cs="微软雅黑"/>
                <w:color w:val="2B2B2B"/>
                <w:sz w:val="18"/>
                <w:szCs w:val="18"/>
              </w:rPr>
              <w:t>　　1</w:t>
            </w:r>
          </w:p>
        </w:tc>
        <w:tc>
          <w:tcPr>
            <w:tcW w:w="5310" w:type="dxa"/>
            <w:tcBorders>
              <w:top w:val="outset" w:color="auto" w:sz="6" w:space="0"/>
              <w:left w:val="outset" w:color="auto" w:sz="6" w:space="0"/>
              <w:bottom w:val="outset" w:color="auto" w:sz="6" w:space="0"/>
              <w:right w:val="outset" w:color="auto" w:sz="6" w:space="0"/>
            </w:tcBorders>
            <w:shd w:val="clear" w:color="auto" w:fill="FFFFFF"/>
          </w:tcPr>
          <w:p>
            <w:pPr>
              <w:pStyle w:val="8"/>
              <w:jc w:val="center"/>
              <w:rPr>
                <w:color w:val="2B2B2B"/>
              </w:rPr>
            </w:pPr>
            <w:r>
              <w:rPr>
                <w:rFonts w:hint="eastAsia" w:ascii="微软雅黑" w:eastAsia="微软雅黑" w:cs="微软雅黑"/>
                <w:color w:val="2B2B2B"/>
                <w:sz w:val="18"/>
                <w:szCs w:val="18"/>
              </w:rPr>
              <w:t>　　局办公室</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3015" w:type="dxa"/>
            <w:tcBorders>
              <w:top w:val="outset" w:color="auto" w:sz="6" w:space="0"/>
              <w:left w:val="outset" w:color="auto" w:sz="6" w:space="0"/>
              <w:bottom w:val="outset" w:color="auto" w:sz="6" w:space="0"/>
              <w:right w:val="outset" w:color="auto" w:sz="6" w:space="0"/>
            </w:tcBorders>
            <w:shd w:val="clear" w:color="auto" w:fill="FFFFFF"/>
          </w:tcPr>
          <w:p>
            <w:pPr>
              <w:pStyle w:val="8"/>
              <w:jc w:val="center"/>
              <w:rPr>
                <w:color w:val="2B2B2B"/>
              </w:rPr>
            </w:pPr>
            <w:r>
              <w:rPr>
                <w:rFonts w:hint="eastAsia" w:ascii="微软雅黑" w:eastAsia="微软雅黑" w:cs="微软雅黑"/>
                <w:color w:val="2B2B2B"/>
                <w:sz w:val="18"/>
                <w:szCs w:val="18"/>
              </w:rPr>
              <w:t>　　2</w:t>
            </w:r>
          </w:p>
        </w:tc>
        <w:tc>
          <w:tcPr>
            <w:tcW w:w="5310" w:type="dxa"/>
            <w:tcBorders>
              <w:top w:val="outset" w:color="auto" w:sz="6" w:space="0"/>
              <w:left w:val="outset" w:color="auto" w:sz="6" w:space="0"/>
              <w:bottom w:val="outset" w:color="auto" w:sz="6" w:space="0"/>
              <w:right w:val="outset" w:color="auto" w:sz="6" w:space="0"/>
            </w:tcBorders>
            <w:shd w:val="clear" w:color="auto" w:fill="FFFFFF"/>
          </w:tcPr>
          <w:p>
            <w:pPr>
              <w:pStyle w:val="8"/>
              <w:jc w:val="center"/>
              <w:rPr>
                <w:color w:val="2B2B2B"/>
              </w:rPr>
            </w:pPr>
            <w:r>
              <w:rPr>
                <w:rFonts w:hint="eastAsia" w:ascii="微软雅黑" w:eastAsia="微软雅黑" w:cs="微软雅黑"/>
                <w:color w:val="2B2B2B"/>
                <w:sz w:val="18"/>
                <w:szCs w:val="18"/>
              </w:rPr>
              <w:t>　　旅游发展与管理科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3015" w:type="dxa"/>
            <w:tcBorders>
              <w:top w:val="outset" w:color="auto" w:sz="6" w:space="0"/>
              <w:left w:val="outset" w:color="auto" w:sz="6" w:space="0"/>
              <w:bottom w:val="outset" w:color="auto" w:sz="6" w:space="0"/>
              <w:right w:val="outset" w:color="auto" w:sz="6" w:space="0"/>
            </w:tcBorders>
            <w:shd w:val="clear" w:color="auto" w:fill="FFFFFF"/>
          </w:tcPr>
          <w:p>
            <w:pPr>
              <w:pStyle w:val="8"/>
              <w:jc w:val="center"/>
              <w:rPr>
                <w:color w:val="2B2B2B"/>
              </w:rPr>
            </w:pPr>
            <w:r>
              <w:rPr>
                <w:rFonts w:hint="eastAsia" w:ascii="微软雅黑" w:eastAsia="微软雅黑" w:cs="微软雅黑"/>
                <w:color w:val="2B2B2B"/>
                <w:sz w:val="18"/>
                <w:szCs w:val="18"/>
              </w:rPr>
              <w:t>　　3</w:t>
            </w:r>
          </w:p>
        </w:tc>
        <w:tc>
          <w:tcPr>
            <w:tcW w:w="5310" w:type="dxa"/>
            <w:tcBorders>
              <w:top w:val="outset" w:color="auto" w:sz="6" w:space="0"/>
              <w:left w:val="outset" w:color="auto" w:sz="6" w:space="0"/>
              <w:bottom w:val="outset" w:color="auto" w:sz="6" w:space="0"/>
              <w:right w:val="outset" w:color="auto" w:sz="6" w:space="0"/>
            </w:tcBorders>
            <w:shd w:val="clear" w:color="auto" w:fill="FFFFFF"/>
          </w:tcPr>
          <w:p>
            <w:pPr>
              <w:pStyle w:val="8"/>
              <w:jc w:val="center"/>
              <w:rPr>
                <w:rFonts w:eastAsia="微软雅黑"/>
                <w:color w:val="2B2B2B"/>
              </w:rPr>
            </w:pPr>
            <w:r>
              <w:rPr>
                <w:rFonts w:hint="eastAsia" w:ascii="微软雅黑" w:eastAsia="微软雅黑" w:cs="微软雅黑"/>
                <w:color w:val="2B2B2B"/>
                <w:sz w:val="18"/>
                <w:szCs w:val="18"/>
              </w:rPr>
              <w:t>　　旅游管理服务中心</w:t>
            </w:r>
          </w:p>
        </w:tc>
      </w:tr>
    </w:tbl>
    <w:p>
      <w:pPr>
        <w:pStyle w:val="8"/>
        <w:spacing w:line="560" w:lineRule="exact"/>
        <w:ind w:firstLine="640" w:firstLineChars="200"/>
        <w:rPr>
          <w:rFonts w:ascii="黑体" w:eastAsia="黑体" w:cs="楷体"/>
          <w:bCs/>
          <w:color w:val="000000"/>
          <w:sz w:val="32"/>
          <w:szCs w:val="32"/>
        </w:rPr>
      </w:pPr>
      <w:r>
        <w:rPr>
          <w:rFonts w:hint="eastAsia" w:ascii="黑体" w:eastAsia="黑体" w:cs="楷体"/>
          <w:bCs/>
          <w:color w:val="000000"/>
          <w:sz w:val="32"/>
          <w:szCs w:val="32"/>
        </w:rPr>
        <w:t>二、2019年度部门工作完成情况</w:t>
      </w:r>
    </w:p>
    <w:p>
      <w:pPr>
        <w:spacing w:line="560" w:lineRule="exact"/>
        <w:ind w:firstLine="640" w:firstLineChars="200"/>
        <w:rPr>
          <w:rFonts w:ascii="楷体_GB2312" w:eastAsia="楷体_GB2312" w:cs="楷体_GB2312"/>
          <w:sz w:val="32"/>
          <w:szCs w:val="32"/>
        </w:rPr>
      </w:pPr>
      <w:r>
        <w:rPr>
          <w:rFonts w:hint="eastAsia" w:ascii="楷体_GB2312" w:eastAsia="楷体_GB2312" w:cs="楷体_GB2312"/>
          <w:sz w:val="32"/>
          <w:szCs w:val="32"/>
        </w:rPr>
        <w:t>（一）市考指标完成情况</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2019年，我局共承担市考指标</w:t>
      </w:r>
      <w:r>
        <w:rPr>
          <w:rFonts w:ascii="仿宋_GB2312" w:eastAsia="仿宋_GB2312" w:cs="仿宋_GB2312"/>
          <w:sz w:val="32"/>
          <w:szCs w:val="32"/>
        </w:rPr>
        <w:t>4</w:t>
      </w:r>
      <w:r>
        <w:rPr>
          <w:rFonts w:hint="eastAsia" w:ascii="仿宋_GB2312" w:eastAsia="仿宋_GB2312" w:cs="仿宋_GB2312"/>
          <w:sz w:val="32"/>
          <w:szCs w:val="32"/>
        </w:rPr>
        <w:t>项，一是规范提升回坊风情街区旅游秩序，新增A级旅游景区1个，建成等级民宿3</w:t>
      </w:r>
      <w:r>
        <w:rPr>
          <w:rFonts w:ascii="仿宋_GB2312" w:eastAsia="仿宋_GB2312" w:cs="仿宋_GB2312"/>
          <w:sz w:val="32"/>
          <w:szCs w:val="32"/>
        </w:rPr>
        <w:t>0</w:t>
      </w:r>
      <w:r>
        <w:rPr>
          <w:rFonts w:hint="eastAsia" w:ascii="仿宋_GB2312" w:eastAsia="仿宋_GB2312" w:cs="仿宋_GB2312"/>
          <w:sz w:val="32"/>
          <w:szCs w:val="32"/>
        </w:rPr>
        <w:t>家；二是基层公共文化服务站点建设达标率100%；三是新改建旅游厕所3座；四是打造城市社区“1</w:t>
      </w:r>
      <w:r>
        <w:rPr>
          <w:rFonts w:ascii="仿宋_GB2312" w:eastAsia="仿宋_GB2312" w:cs="仿宋_GB2312"/>
          <w:sz w:val="32"/>
          <w:szCs w:val="32"/>
        </w:rPr>
        <w:t>5</w:t>
      </w:r>
      <w:r>
        <w:rPr>
          <w:rFonts w:hint="eastAsia" w:ascii="仿宋_GB2312" w:eastAsia="仿宋_GB2312" w:cs="仿宋_GB2312"/>
          <w:sz w:val="32"/>
          <w:szCs w:val="32"/>
        </w:rPr>
        <w:t>分钟健身圈”、打造城市社区“1</w:t>
      </w:r>
      <w:r>
        <w:rPr>
          <w:rFonts w:ascii="仿宋_GB2312" w:eastAsia="仿宋_GB2312" w:cs="仿宋_GB2312"/>
          <w:sz w:val="32"/>
          <w:szCs w:val="32"/>
        </w:rPr>
        <w:t>5</w:t>
      </w:r>
      <w:r>
        <w:rPr>
          <w:rFonts w:hint="eastAsia" w:ascii="仿宋_GB2312" w:eastAsia="仿宋_GB2312" w:cs="仿宋_GB2312"/>
          <w:sz w:val="32"/>
          <w:szCs w:val="32"/>
        </w:rPr>
        <w:t>分钟阅读圈”。</w:t>
      </w:r>
    </w:p>
    <w:p>
      <w:pPr>
        <w:spacing w:line="560" w:lineRule="exact"/>
        <w:ind w:firstLine="643" w:firstLineChars="200"/>
        <w:rPr>
          <w:rFonts w:ascii="仿宋_GB2312" w:eastAsia="仿宋_GB2312" w:cs="仿宋_GB2312"/>
          <w:sz w:val="32"/>
          <w:szCs w:val="32"/>
        </w:rPr>
      </w:pPr>
      <w:r>
        <w:rPr>
          <w:rFonts w:hint="eastAsia" w:ascii="仿宋_GB2312" w:eastAsia="仿宋_GB2312" w:cs="仿宋_GB2312"/>
          <w:b/>
          <w:bCs/>
          <w:sz w:val="32"/>
          <w:szCs w:val="32"/>
        </w:rPr>
        <w:t>指标一完成情况</w:t>
      </w:r>
      <w:r>
        <w:rPr>
          <w:rFonts w:hint="eastAsia" w:ascii="仿宋_GB2312" w:eastAsia="仿宋_GB2312" w:cs="仿宋_GB2312"/>
          <w:sz w:val="32"/>
          <w:szCs w:val="32"/>
        </w:rPr>
        <w:t>：先后组织公安、城管、区工信交通局、西大街管委会、北院门街办等部门，对北院门历史文化街区重点区域占道经营、“黑车”、非法揽客联合执法检查40次，进一步规范了回坊区域旅游市场秩序，营造良好的旅游消费环境。筛选上报等级民宿的35家，已经经过市级初步评审。3次邀请市局部门及评审专家对高家大院A级旅游景区创建工作进行现场指导，并按照标准正在展开申报资料整理和设施优化工作，完成创建任务。</w:t>
      </w:r>
    </w:p>
    <w:p>
      <w:pPr>
        <w:spacing w:line="560" w:lineRule="exact"/>
        <w:ind w:firstLine="643" w:firstLineChars="200"/>
        <w:rPr>
          <w:rFonts w:ascii="仿宋_GB2312" w:eastAsia="仿宋_GB2312" w:cs="仿宋_GB2312"/>
          <w:sz w:val="32"/>
          <w:szCs w:val="32"/>
        </w:rPr>
      </w:pPr>
      <w:r>
        <w:rPr>
          <w:rFonts w:hint="eastAsia" w:ascii="仿宋_GB2312" w:eastAsia="仿宋_GB2312" w:cs="仿宋_GB2312"/>
          <w:b/>
          <w:bCs/>
          <w:sz w:val="32"/>
          <w:szCs w:val="32"/>
        </w:rPr>
        <w:t>指标二完成情况</w:t>
      </w:r>
      <w:r>
        <w:rPr>
          <w:rFonts w:hint="eastAsia" w:ascii="仿宋_GB2312" w:eastAsia="仿宋_GB2312" w:cs="仿宋_GB2312"/>
          <w:sz w:val="32"/>
          <w:szCs w:val="32"/>
        </w:rPr>
        <w:t>： 2019年全区建成2个街道综合文化服务站，27个社区综合文化服务中心，提前完成年度任务。区文化馆达到国家三级文化馆标准，区公共图书馆开工建设，总分馆建设初步选址，“两馆建设”顺利推进。</w:t>
      </w:r>
    </w:p>
    <w:p>
      <w:pPr>
        <w:spacing w:line="560" w:lineRule="exact"/>
        <w:ind w:firstLine="643" w:firstLineChars="200"/>
        <w:rPr>
          <w:rFonts w:ascii="仿宋_GB2312" w:eastAsia="仿宋_GB2312"/>
          <w:sz w:val="32"/>
          <w:szCs w:val="32"/>
        </w:rPr>
      </w:pPr>
      <w:r>
        <w:rPr>
          <w:rFonts w:hint="eastAsia" w:ascii="仿宋_GB2312" w:eastAsia="仿宋_GB2312" w:cs="仿宋_GB2312"/>
          <w:b/>
          <w:bCs/>
          <w:sz w:val="32"/>
          <w:szCs w:val="32"/>
        </w:rPr>
        <w:t>指标三完成情况</w:t>
      </w:r>
      <w:r>
        <w:rPr>
          <w:rFonts w:hint="eastAsia" w:ascii="仿宋_GB2312" w:eastAsia="仿宋_GB2312" w:cs="仿宋_GB2312"/>
          <w:sz w:val="32"/>
          <w:szCs w:val="32"/>
        </w:rPr>
        <w:t>：完成对无极公园东、西两侧和红庙坡与文景路十字南侧3座旅游厕所的新改建工作，并对全区17座旅游厕所进行等级评定，同时在北院门风情街</w:t>
      </w:r>
      <w:r>
        <w:rPr>
          <w:rFonts w:hint="eastAsia" w:ascii="仿宋_GB2312" w:eastAsia="仿宋_GB2312"/>
          <w:sz w:val="32"/>
          <w:szCs w:val="32"/>
        </w:rPr>
        <w:t>建设旅游服务综合体，内设“五星级”标准公厕，新增厕位40余个。</w:t>
      </w:r>
    </w:p>
    <w:p>
      <w:pPr>
        <w:spacing w:line="560" w:lineRule="exact"/>
        <w:ind w:firstLine="643" w:firstLineChars="200"/>
        <w:rPr>
          <w:rFonts w:ascii="仿宋_GB2312" w:eastAsia="仿宋_GB2312"/>
          <w:color w:val="FF0000"/>
          <w:sz w:val="32"/>
          <w:szCs w:val="32"/>
        </w:rPr>
      </w:pPr>
      <w:r>
        <w:rPr>
          <w:rFonts w:hint="eastAsia" w:ascii="仿宋_GB2312" w:eastAsia="仿宋_GB2312" w:cs="仿宋_GB2312"/>
          <w:b/>
          <w:bCs/>
          <w:sz w:val="32"/>
          <w:szCs w:val="32"/>
        </w:rPr>
        <w:t>指标四完成情况</w:t>
      </w:r>
      <w:r>
        <w:rPr>
          <w:rFonts w:hint="eastAsia" w:ascii="仿宋_GB2312" w:eastAsia="仿宋_GB2312" w:cs="仿宋_GB2312"/>
          <w:sz w:val="32"/>
          <w:szCs w:val="32"/>
        </w:rPr>
        <w:t>：制定了《莲湖打造城市社区“1</w:t>
      </w:r>
      <w:r>
        <w:rPr>
          <w:rFonts w:ascii="仿宋_GB2312" w:eastAsia="仿宋_GB2312" w:cs="仿宋_GB2312"/>
          <w:sz w:val="32"/>
          <w:szCs w:val="32"/>
        </w:rPr>
        <w:t>5</w:t>
      </w:r>
      <w:r>
        <w:rPr>
          <w:rFonts w:hint="eastAsia" w:ascii="仿宋_GB2312" w:eastAsia="仿宋_GB2312" w:cs="仿宋_GB2312"/>
          <w:sz w:val="32"/>
          <w:szCs w:val="32"/>
        </w:rPr>
        <w:t>分钟阅读圈”实施方案》，“老城根方所文化中心”项目正式启动，</w:t>
      </w:r>
      <w:r>
        <w:rPr>
          <w:rFonts w:hint="eastAsia" w:ascii="仿宋_GB2312" w:eastAsia="仿宋_GB2312"/>
          <w:sz w:val="32"/>
          <w:szCs w:val="32"/>
        </w:rPr>
        <w:t>成功引进西西弗、樊登读书等一批知名品牌书店建成实体书店</w:t>
      </w:r>
      <w:r>
        <w:rPr>
          <w:rFonts w:ascii="仿宋_GB2312" w:eastAsia="仿宋_GB2312"/>
          <w:sz w:val="32"/>
          <w:szCs w:val="32"/>
        </w:rPr>
        <w:t>62</w:t>
      </w:r>
      <w:r>
        <w:rPr>
          <w:rFonts w:hint="eastAsia" w:ascii="仿宋_GB2312" w:eastAsia="仿宋_GB2312"/>
          <w:sz w:val="32"/>
          <w:szCs w:val="32"/>
        </w:rPr>
        <w:t>家，全区实体书店总数23</w:t>
      </w:r>
      <w:r>
        <w:rPr>
          <w:rFonts w:ascii="仿宋_GB2312" w:eastAsia="仿宋_GB2312"/>
          <w:sz w:val="32"/>
          <w:szCs w:val="32"/>
        </w:rPr>
        <w:t>8</w:t>
      </w:r>
      <w:r>
        <w:rPr>
          <w:rFonts w:hint="eastAsia" w:ascii="仿宋_GB2312" w:eastAsia="仿宋_GB2312"/>
          <w:sz w:val="32"/>
          <w:szCs w:val="32"/>
        </w:rPr>
        <w:t>家，位列城三区首位，在全市范围内名列前茅。制定了《莲湖区打造城市社区“1</w:t>
      </w:r>
      <w:r>
        <w:rPr>
          <w:rFonts w:ascii="仿宋_GB2312" w:eastAsia="仿宋_GB2312"/>
          <w:sz w:val="32"/>
          <w:szCs w:val="32"/>
        </w:rPr>
        <w:t>5</w:t>
      </w:r>
      <w:r>
        <w:rPr>
          <w:rFonts w:hint="eastAsia" w:ascii="仿宋_GB2312" w:eastAsia="仿宋_GB2312"/>
          <w:sz w:val="32"/>
          <w:szCs w:val="32"/>
        </w:rPr>
        <w:t>分钟健身圈”实施方案》，完成莲湖区国民体质监测站建设，完成全区“一站三点”的体质监测建设。完成2019年西安市全民健身惠民工程配送8套健身路径的安装和验收，以及区级更新60套及52件健身器材的政府采购任务。全区9个街办，131个社区，共安装健身器材511套，实现社区全民健身基础设施全覆盖。建设健身站点59个，培育社会指导员2100名。</w:t>
      </w:r>
    </w:p>
    <w:p>
      <w:pPr>
        <w:spacing w:line="560" w:lineRule="exact"/>
        <w:ind w:firstLine="640" w:firstLineChars="200"/>
        <w:rPr>
          <w:rFonts w:ascii="楷体_GB2312" w:eastAsia="楷体_GB2312" w:cs="楷体_GB2312"/>
          <w:sz w:val="32"/>
          <w:szCs w:val="32"/>
        </w:rPr>
      </w:pPr>
      <w:r>
        <w:rPr>
          <w:rFonts w:hint="eastAsia" w:ascii="楷体_GB2312" w:eastAsia="楷体_GB2312" w:cs="楷体_GB2312"/>
          <w:sz w:val="32"/>
          <w:szCs w:val="32"/>
        </w:rPr>
        <w:t>（二）重点工作任务完成情况</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1</w:t>
      </w:r>
      <w:r>
        <w:rPr>
          <w:rFonts w:ascii="仿宋_GB2312" w:eastAsia="仿宋_GB2312"/>
          <w:b/>
          <w:bCs/>
          <w:sz w:val="32"/>
          <w:szCs w:val="32"/>
        </w:rPr>
        <w:t>.</w:t>
      </w:r>
      <w:r>
        <w:rPr>
          <w:rFonts w:hint="eastAsia" w:ascii="仿宋_GB2312" w:eastAsia="仿宋_GB2312"/>
          <w:b/>
          <w:bCs/>
          <w:sz w:val="32"/>
          <w:szCs w:val="32"/>
        </w:rPr>
        <w:t>抢抓文旅融合机遇，实现文旅发展新突破</w:t>
      </w:r>
      <w:r>
        <w:rPr>
          <w:rFonts w:hint="eastAsia" w:ascii="仿宋_GB2312" w:eastAsia="仿宋_GB2312"/>
          <w:sz w:val="32"/>
          <w:szCs w:val="32"/>
        </w:rPr>
        <w:t>。</w:t>
      </w:r>
    </w:p>
    <w:p>
      <w:pPr>
        <w:spacing w:line="560" w:lineRule="exact"/>
        <w:ind w:firstLine="643" w:firstLineChars="200"/>
        <w:rPr>
          <w:rFonts w:ascii="仿宋_GB2312" w:eastAsia="仿宋_GB2312" w:cs="仿宋_GB2312"/>
          <w:color w:val="FF0000"/>
          <w:sz w:val="32"/>
          <w:szCs w:val="32"/>
        </w:rPr>
      </w:pPr>
      <w:r>
        <w:rPr>
          <w:rFonts w:hint="eastAsia" w:ascii="仿宋_GB2312" w:eastAsia="仿宋_GB2312"/>
          <w:b/>
          <w:sz w:val="32"/>
          <w:szCs w:val="32"/>
        </w:rPr>
        <w:t>一是</w:t>
      </w:r>
      <w:r>
        <w:rPr>
          <w:rFonts w:hint="eastAsia" w:ascii="仿宋_GB2312" w:eastAsia="仿宋_GB2312"/>
          <w:sz w:val="32"/>
          <w:szCs w:val="32"/>
        </w:rPr>
        <w:t>组织专家学者和部门领导，创新开展“159号论坛”活动3期，论道文旅融合，为解决北院门地区文旅产业融合升级、街景提升、经济发展等问题提供了智慧方案。</w:t>
      </w:r>
      <w:r>
        <w:rPr>
          <w:rFonts w:hint="eastAsia" w:ascii="仿宋_GB2312" w:eastAsia="仿宋_GB2312" w:cs="仿宋_GB2312"/>
          <w:b/>
          <w:sz w:val="32"/>
          <w:szCs w:val="32"/>
        </w:rPr>
        <w:t>二是</w:t>
      </w:r>
      <w:r>
        <w:rPr>
          <w:rFonts w:hint="eastAsia" w:ascii="仿宋_GB2312" w:eastAsia="仿宋_GB2312"/>
          <w:sz w:val="32"/>
          <w:szCs w:val="32"/>
        </w:rPr>
        <w:t>改造提升北院门应急指挥中心，</w:t>
      </w:r>
      <w:r>
        <w:rPr>
          <w:rFonts w:hint="eastAsia" w:ascii="仿宋_GB2312" w:eastAsia="仿宋_GB2312" w:cs="仿宋_GB2312"/>
          <w:sz w:val="32"/>
          <w:szCs w:val="32"/>
        </w:rPr>
        <w:t>提升特色街区服务水平，</w:t>
      </w:r>
      <w:r>
        <w:rPr>
          <w:rFonts w:hint="eastAsia" w:ascii="仿宋_GB2312" w:eastAsia="仿宋_GB2312"/>
          <w:sz w:val="32"/>
          <w:szCs w:val="32"/>
        </w:rPr>
        <w:t>支付宝发布的十一旅游报告显示，北院门风情街成为全国网红商圈打卡第三名。</w:t>
      </w:r>
      <w:r>
        <w:rPr>
          <w:rFonts w:hint="eastAsia" w:ascii="仿宋_GB2312" w:eastAsia="仿宋_GB2312"/>
          <w:b/>
          <w:sz w:val="32"/>
          <w:szCs w:val="32"/>
        </w:rPr>
        <w:t>三是</w:t>
      </w:r>
      <w:r>
        <w:rPr>
          <w:rFonts w:hint="eastAsia" w:ascii="仿宋_GB2312" w:eastAsia="仿宋_GB2312"/>
          <w:sz w:val="32"/>
          <w:szCs w:val="32"/>
        </w:rPr>
        <w:t>大力推进民宿发展，</w:t>
      </w:r>
      <w:r>
        <w:rPr>
          <w:rFonts w:hint="eastAsia" w:ascii="仿宋_GB2312" w:eastAsia="仿宋_GB2312" w:cs="仿宋_GB2312"/>
          <w:sz w:val="32"/>
          <w:szCs w:val="32"/>
        </w:rPr>
        <w:t>培育文旅融合新业态。全区民宿</w:t>
      </w:r>
      <w:r>
        <w:rPr>
          <w:rFonts w:hint="eastAsia" w:ascii="仿宋_GB2312" w:eastAsia="仿宋_GB2312"/>
          <w:sz w:val="32"/>
          <w:szCs w:val="32"/>
        </w:rPr>
        <w:t>总量达到</w:t>
      </w:r>
      <w:r>
        <w:rPr>
          <w:rFonts w:hint="eastAsia" w:ascii="仿宋_GB2312" w:eastAsia="仿宋_GB2312" w:cs="仿宋_GB2312"/>
          <w:sz w:val="32"/>
          <w:szCs w:val="32"/>
        </w:rPr>
        <w:t>354家，打造不舍长安里、麦苋街76号民宿、隐居·草舍等一批高品质特色民宿30余家，其中不舍·长安里获得“2019中国好民宿”两个全国性权威大奖。</w:t>
      </w:r>
    </w:p>
    <w:p>
      <w:pPr>
        <w:spacing w:line="560" w:lineRule="exact"/>
        <w:ind w:firstLine="643" w:firstLineChars="200"/>
        <w:rPr>
          <w:rFonts w:ascii="仿宋_GB2312" w:eastAsia="仿宋_GB2312"/>
          <w:sz w:val="32"/>
          <w:szCs w:val="32"/>
        </w:rPr>
      </w:pPr>
      <w:r>
        <w:rPr>
          <w:rFonts w:ascii="仿宋_GB2312" w:eastAsia="仿宋_GB2312"/>
          <w:b/>
          <w:bCs/>
          <w:sz w:val="32"/>
          <w:szCs w:val="32"/>
        </w:rPr>
        <w:t>3.</w:t>
      </w:r>
      <w:r>
        <w:rPr>
          <w:rFonts w:hint="eastAsia" w:ascii="仿宋_GB2312" w:eastAsia="仿宋_GB2312"/>
          <w:b/>
          <w:bCs/>
          <w:sz w:val="32"/>
          <w:szCs w:val="32"/>
        </w:rPr>
        <w:t>凸显莲湖文化特色，打开文旅发展新思路</w:t>
      </w:r>
      <w:r>
        <w:rPr>
          <w:rFonts w:hint="eastAsia" w:ascii="仿宋_GB2312" w:eastAsia="仿宋_GB2312"/>
          <w:sz w:val="32"/>
          <w:szCs w:val="32"/>
        </w:rPr>
        <w:t>。</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一是</w:t>
      </w:r>
      <w:r>
        <w:rPr>
          <w:rFonts w:hint="eastAsia" w:ascii="仿宋_GB2312" w:eastAsia="仿宋_GB2312"/>
          <w:sz w:val="32"/>
          <w:szCs w:val="32"/>
        </w:rPr>
        <w:t>让文化活起来。制作了《“触得到的历史”—莲湖区非物质文化遗产宣传手册》、《莲湖区文物地图》、《莲湖手绘地图》等文创画册，利用现代时尚审美让静态的文化标志变为活态的文化故事，进一步了凸显莲湖独特的文化内涵。</w:t>
      </w:r>
      <w:r>
        <w:rPr>
          <w:rFonts w:hint="eastAsia" w:ascii="仿宋_GB2312" w:eastAsia="仿宋_GB2312"/>
          <w:b/>
          <w:sz w:val="32"/>
          <w:szCs w:val="32"/>
        </w:rPr>
        <w:t>二是</w:t>
      </w:r>
      <w:r>
        <w:rPr>
          <w:rFonts w:hint="eastAsia" w:ascii="仿宋_GB2312" w:eastAsia="仿宋_GB2312"/>
          <w:sz w:val="32"/>
          <w:szCs w:val="32"/>
        </w:rPr>
        <w:t>让资源动起来。与陕西省非遗产业促进协会合作，在莲湖区成立陕西省非遗产业单项执行委员会2个；对辖区现存</w:t>
      </w:r>
      <w:r>
        <w:rPr>
          <w:rFonts w:ascii="仿宋_GB2312" w:eastAsia="仿宋_GB2312"/>
          <w:sz w:val="32"/>
          <w:szCs w:val="32"/>
        </w:rPr>
        <w:t>22</w:t>
      </w:r>
      <w:r>
        <w:rPr>
          <w:rFonts w:hint="eastAsia" w:ascii="仿宋_GB2312" w:eastAsia="仿宋_GB2312"/>
          <w:sz w:val="32"/>
          <w:szCs w:val="32"/>
        </w:rPr>
        <w:t>处传统民居进行调研摸底，形成了《莲湖区传统民居现状调查报告》，同时，结合民宿、餐饮、茶道、演艺等特色文化项目对其进行策划包装。</w:t>
      </w:r>
      <w:r>
        <w:rPr>
          <w:rFonts w:hint="eastAsia" w:ascii="仿宋_GB2312" w:eastAsia="仿宋_GB2312"/>
          <w:b/>
          <w:sz w:val="32"/>
          <w:szCs w:val="32"/>
        </w:rPr>
        <w:t>三</w:t>
      </w:r>
      <w:r>
        <w:rPr>
          <w:rFonts w:hint="eastAsia" w:ascii="仿宋_GB2312" w:eastAsia="仿宋_GB2312"/>
          <w:sz w:val="32"/>
          <w:szCs w:val="32"/>
        </w:rPr>
        <w:t>让招牌树起来。开展了“西安年·最中国”、“春满中国·醉西安”等精品活动，组织</w:t>
      </w:r>
      <w:r>
        <w:rPr>
          <w:rFonts w:hint="eastAsia" w:ascii="仿宋_GB2312" w:eastAsia="仿宋_GB2312" w:cs="仿宋_GB2312"/>
          <w:bCs/>
          <w:sz w:val="32"/>
          <w:szCs w:val="32"/>
        </w:rPr>
        <w:t>举办了</w:t>
      </w:r>
      <w:r>
        <w:rPr>
          <w:rFonts w:hint="eastAsia" w:ascii="仿宋_GB2312" w:eastAsia="仿宋_GB2312" w:cs="仿宋_GB2312"/>
          <w:snapToGrid w:val="0"/>
          <w:sz w:val="32"/>
          <w:szCs w:val="32"/>
        </w:rPr>
        <w:t>“大唐西市春节文化庙会”、“广仁寺新春燃灯祈福法会”</w:t>
      </w:r>
      <w:r>
        <w:rPr>
          <w:rFonts w:hint="eastAsia" w:ascii="仿宋_GB2312" w:eastAsia="仿宋_GB2312" w:cs="仿宋_GB2312"/>
          <w:sz w:val="32"/>
          <w:szCs w:val="32"/>
        </w:rPr>
        <w:t>、</w:t>
      </w:r>
      <w:r>
        <w:rPr>
          <w:rFonts w:hint="eastAsia" w:ascii="仿宋_GB2312" w:eastAsia="仿宋_GB2312" w:cs="仿宋_GB2312"/>
          <w:snapToGrid w:val="0"/>
          <w:sz w:val="32"/>
          <w:szCs w:val="32"/>
        </w:rPr>
        <w:t>老城根Gpark“跨年狂欢盛典”等常态化活动；开展了</w:t>
      </w:r>
      <w:r>
        <w:rPr>
          <w:rFonts w:hint="eastAsia" w:ascii="仿宋_GB2312" w:eastAsia="仿宋_GB2312"/>
          <w:sz w:val="32"/>
          <w:szCs w:val="32"/>
        </w:rPr>
        <w:t>“全国少儿文化艺术节”“隐市”等特色文化活动；参加了兰州、东北三省“看长安十二时辰、游千年古都西安”宣传推介活动。</w:t>
      </w:r>
    </w:p>
    <w:p>
      <w:pPr>
        <w:spacing w:line="560" w:lineRule="exact"/>
        <w:ind w:firstLine="643" w:firstLineChars="200"/>
        <w:rPr>
          <w:rFonts w:ascii="仿宋_GB2312" w:eastAsia="仿宋_GB2312"/>
          <w:sz w:val="32"/>
          <w:szCs w:val="32"/>
        </w:rPr>
      </w:pPr>
      <w:r>
        <w:rPr>
          <w:rFonts w:ascii="仿宋_GB2312" w:eastAsia="仿宋_GB2312"/>
          <w:b/>
          <w:bCs/>
          <w:sz w:val="32"/>
          <w:szCs w:val="32"/>
        </w:rPr>
        <w:t>4.</w:t>
      </w:r>
      <w:r>
        <w:rPr>
          <w:rFonts w:hint="eastAsia" w:ascii="仿宋_GB2312" w:eastAsia="仿宋_GB2312"/>
          <w:b/>
          <w:bCs/>
          <w:sz w:val="32"/>
          <w:szCs w:val="32"/>
        </w:rPr>
        <w:t>紧盯项目包装策划</w:t>
      </w:r>
      <w:r>
        <w:rPr>
          <w:rFonts w:hint="eastAsia" w:ascii="仿宋_GB2312" w:eastAsia="仿宋_GB2312"/>
          <w:sz w:val="32"/>
          <w:szCs w:val="32"/>
        </w:rPr>
        <w:t>，</w:t>
      </w:r>
      <w:r>
        <w:rPr>
          <w:rFonts w:hint="eastAsia" w:ascii="仿宋_GB2312" w:eastAsia="仿宋_GB2312"/>
          <w:b/>
          <w:bCs/>
          <w:sz w:val="32"/>
          <w:szCs w:val="32"/>
        </w:rPr>
        <w:t>激发文旅体产业新潜能</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编制了《西安市莲湖区全域旅游发展总体规划》、《莲湖区民宿产业发展规划（2019-2023年）》，策划了《莲湖区游客服务中心改造提升》等4个文旅融合项目，策划包装了劳动公园全民健身智慧园区等3个文旅体融合项目。</w:t>
      </w:r>
    </w:p>
    <w:p>
      <w:pPr>
        <w:spacing w:line="560" w:lineRule="exact"/>
        <w:ind w:firstLine="643" w:firstLineChars="200"/>
        <w:rPr>
          <w:rFonts w:ascii="仿宋_GB2312" w:eastAsia="仿宋_GB2312"/>
          <w:sz w:val="32"/>
          <w:szCs w:val="32"/>
        </w:rPr>
      </w:pPr>
      <w:r>
        <w:rPr>
          <w:rFonts w:ascii="仿宋_GB2312" w:eastAsia="仿宋_GB2312"/>
          <w:b/>
          <w:bCs/>
          <w:sz w:val="32"/>
          <w:szCs w:val="32"/>
        </w:rPr>
        <w:t>5.</w:t>
      </w:r>
      <w:r>
        <w:rPr>
          <w:rFonts w:hint="eastAsia" w:ascii="仿宋_GB2312" w:eastAsia="仿宋_GB2312"/>
          <w:b/>
          <w:bCs/>
          <w:sz w:val="32"/>
          <w:szCs w:val="32"/>
        </w:rPr>
        <w:t>丰富群众文化生活，为民服务实现新跃升</w:t>
      </w:r>
      <w:r>
        <w:rPr>
          <w:rFonts w:hint="eastAsia" w:ascii="仿宋_GB2312" w:eastAsia="仿宋_GB2312"/>
          <w:sz w:val="32"/>
          <w:szCs w:val="32"/>
        </w:rPr>
        <w:t>。</w:t>
      </w:r>
    </w:p>
    <w:p>
      <w:pPr>
        <w:spacing w:line="560" w:lineRule="exact"/>
        <w:ind w:firstLine="640" w:firstLineChars="200"/>
        <w:rPr>
          <w:rFonts w:ascii="仿宋" w:eastAsia="仿宋" w:cs="仿宋"/>
          <w:sz w:val="32"/>
          <w:szCs w:val="32"/>
        </w:rPr>
      </w:pPr>
      <w:r>
        <w:rPr>
          <w:rFonts w:hint="eastAsia" w:ascii="仿宋_GB2312" w:eastAsia="仿宋_GB2312" w:cs="黑体"/>
          <w:sz w:val="32"/>
          <w:szCs w:val="32"/>
        </w:rPr>
        <w:t>组织了“莲湖区青少年图书漂流”、</w:t>
      </w:r>
      <w:r>
        <w:rPr>
          <w:rFonts w:hint="eastAsia" w:ascii="仿宋_GB2312" w:eastAsia="仿宋_GB2312"/>
          <w:sz w:val="32"/>
          <w:szCs w:val="32"/>
        </w:rPr>
        <w:t>“西安剪纸”走进行知书院、“筑梦童真 爱我中华”少儿文艺活动等</w:t>
      </w:r>
      <w:r>
        <w:rPr>
          <w:rFonts w:hint="eastAsia" w:ascii="仿宋_GB2312" w:eastAsia="仿宋_GB2312" w:cs="黑体"/>
          <w:sz w:val="32"/>
          <w:szCs w:val="32"/>
        </w:rPr>
        <w:t>系列文化惠民活动；组织了</w:t>
      </w:r>
      <w:r>
        <w:rPr>
          <w:rFonts w:hint="eastAsia" w:ascii="仿宋_GB2312" w:eastAsia="仿宋_GB2312"/>
          <w:sz w:val="32"/>
          <w:szCs w:val="32"/>
        </w:rPr>
        <w:t>“凝聚全民正能量 齐心协力奔小康”主题活动文艺演出、</w:t>
      </w:r>
      <w:r>
        <w:rPr>
          <w:rFonts w:hint="eastAsia" w:ascii="仿宋" w:eastAsia="仿宋"/>
          <w:sz w:val="32"/>
          <w:szCs w:val="32"/>
        </w:rPr>
        <w:t>“我和我的祖国</w:t>
      </w:r>
      <w:r>
        <w:rPr>
          <w:rFonts w:ascii="仿宋" w:eastAsia="仿宋"/>
          <w:sz w:val="32"/>
          <w:szCs w:val="32"/>
        </w:rPr>
        <w:t>—</w:t>
      </w:r>
      <w:r>
        <w:rPr>
          <w:rFonts w:hint="eastAsia" w:ascii="仿宋" w:eastAsia="仿宋"/>
          <w:sz w:val="32"/>
          <w:szCs w:val="32"/>
        </w:rPr>
        <w:t>莲湖区庆祝中华人民共和国成立70周年群众书画展”</w:t>
      </w:r>
      <w:r>
        <w:rPr>
          <w:rFonts w:hint="eastAsia" w:ascii="仿宋_GB2312" w:eastAsia="仿宋_GB2312"/>
          <w:sz w:val="32"/>
          <w:szCs w:val="32"/>
        </w:rPr>
        <w:t>等主题宣传活动，全年组织活动26场，惠及群众15万人。实施健康莲湖计划，</w:t>
      </w:r>
      <w:r>
        <w:rPr>
          <w:rFonts w:hint="eastAsia" w:ascii="仿宋" w:eastAsia="仿宋" w:cs="仿宋"/>
          <w:sz w:val="32"/>
          <w:szCs w:val="32"/>
        </w:rPr>
        <w:t>组织开展“我要上全运”陕西省第五届全民健身操舞大赛总决赛暨体操嘉年华、迎全运惠民生2019年陕西省体育健康行“五进”活动进社区、西安市青少年武术套路锦标赛等全民健身活动。</w:t>
      </w:r>
    </w:p>
    <w:p>
      <w:pPr>
        <w:spacing w:line="560" w:lineRule="exact"/>
        <w:ind w:firstLine="645"/>
        <w:rPr>
          <w:rFonts w:ascii="仿宋_GB2312" w:eastAsia="仿宋_GB2312"/>
          <w:b/>
          <w:sz w:val="32"/>
          <w:szCs w:val="32"/>
        </w:rPr>
      </w:pPr>
      <w:r>
        <w:rPr>
          <w:rFonts w:ascii="仿宋_GB2312" w:eastAsia="仿宋_GB2312"/>
          <w:b/>
          <w:sz w:val="32"/>
          <w:szCs w:val="32"/>
        </w:rPr>
        <w:t>6</w:t>
      </w:r>
      <w:r>
        <w:rPr>
          <w:rFonts w:hint="eastAsia" w:ascii="仿宋_GB2312" w:eastAsia="仿宋_GB2312"/>
          <w:b/>
          <w:sz w:val="32"/>
          <w:szCs w:val="32"/>
        </w:rPr>
        <w:t>.建设体育强区，竞技体育取得新佳绩</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举办了2019陕西省群众足球乙级联赛（西安莲湖赛区）比赛、莲湖区干部职工冬季拔河比赛、莲湖区机关干部春季千人健步走活动、莲湖区干部职工乒乓球羽毛球比赛、西安市 “舞动长安”全民健身技能大赛莲湖分区赛、西安市莲湖区老年人健步走大联动活动、武术展演等活动等10余项活动。联合区教育局举办2018-2019年度莲湖区中小学生校园足球联赛、莲湖区中小学生乒乓球比赛、莲湖区首届中小学生激光枪射击锦标赛、莲湖区中小学生田径运动会、莲湖区中小学生篮球暨啦啦操比赛等赛事。参加西安市青少年年度锦标赛16项，取得了</w:t>
      </w:r>
      <w:r>
        <w:rPr>
          <w:rFonts w:ascii="仿宋_GB2312" w:eastAsia="仿宋_GB2312"/>
          <w:sz w:val="32"/>
          <w:szCs w:val="32"/>
        </w:rPr>
        <w:t>7</w:t>
      </w:r>
      <w:r>
        <w:rPr>
          <w:rFonts w:hint="eastAsia" w:ascii="仿宋_GB2312" w:eastAsia="仿宋_GB2312"/>
          <w:sz w:val="32"/>
          <w:szCs w:val="32"/>
        </w:rPr>
        <w:t>个第一名、4个第二名的优异成绩。组队参加了西安市 “舞动长安”全民健身技能大赛荣获二等奖、2019西安市老年人体育健身重点项目柔力球荣获全市第一名、2019年全国传统武术比赛和第十六届全国武术之乡武术套路比赛，分别获得金牌15枚和11枚，全国武术之乡武术套路比赛团体第五。</w:t>
      </w:r>
    </w:p>
    <w:p>
      <w:pPr>
        <w:spacing w:line="560" w:lineRule="exact"/>
        <w:ind w:firstLine="645"/>
        <w:rPr>
          <w:rFonts w:ascii="仿宋_GB2312" w:eastAsia="仿宋_GB2312"/>
          <w:b/>
          <w:sz w:val="32"/>
          <w:szCs w:val="32"/>
        </w:rPr>
      </w:pPr>
      <w:r>
        <w:rPr>
          <w:rFonts w:ascii="仿宋_GB2312" w:eastAsia="仿宋_GB2312"/>
          <w:b/>
          <w:sz w:val="32"/>
          <w:szCs w:val="32"/>
        </w:rPr>
        <w:t>7</w:t>
      </w:r>
      <w:r>
        <w:rPr>
          <w:rFonts w:hint="eastAsia" w:ascii="仿宋_GB2312" w:eastAsia="仿宋_GB2312"/>
          <w:b/>
          <w:sz w:val="32"/>
          <w:szCs w:val="32"/>
        </w:rPr>
        <w:t>.加强行业监管，文旅体市场规范有序</w:t>
      </w:r>
      <w:r>
        <w:rPr>
          <w:rFonts w:hint="eastAsia" w:ascii="仿宋_GB2312" w:eastAsia="仿宋_GB2312"/>
          <w:bCs/>
          <w:sz w:val="32"/>
          <w:szCs w:val="32"/>
        </w:rPr>
        <w:t>。</w:t>
      </w:r>
    </w:p>
    <w:p>
      <w:pPr>
        <w:spacing w:line="560" w:lineRule="exact"/>
        <w:ind w:firstLine="646"/>
        <w:rPr>
          <w:rFonts w:ascii="仿宋_GB2312" w:eastAsia="仿宋_GB2312"/>
          <w:b/>
          <w:sz w:val="32"/>
          <w:szCs w:val="32"/>
        </w:rPr>
      </w:pPr>
      <w:r>
        <w:rPr>
          <w:rFonts w:hint="eastAsia" w:ascii="仿宋_GB2312" w:eastAsia="仿宋_GB2312"/>
          <w:b/>
          <w:bCs/>
          <w:sz w:val="32"/>
          <w:szCs w:val="32"/>
        </w:rPr>
        <w:t>一是</w:t>
      </w:r>
      <w:r>
        <w:rPr>
          <w:rFonts w:hint="eastAsia" w:ascii="仿宋_GB2312" w:eastAsia="仿宋_GB2312"/>
          <w:sz w:val="32"/>
          <w:szCs w:val="32"/>
        </w:rPr>
        <w:t>发挥区歌舞娱乐场所管理联席会议和区旅游市场秩序管理联席会议牵头部门作用，联合公安、城管、市场监管等部门对全区娱乐场所和旅游市场开展联合专项检查；</w:t>
      </w:r>
      <w:r>
        <w:rPr>
          <w:rFonts w:hint="eastAsia" w:ascii="仿宋_GB2312" w:eastAsia="仿宋_GB2312"/>
          <w:b/>
          <w:bCs/>
          <w:sz w:val="32"/>
          <w:szCs w:val="32"/>
        </w:rPr>
        <w:t>二是</w:t>
      </w:r>
      <w:r>
        <w:rPr>
          <w:rFonts w:hint="eastAsia" w:ascii="仿宋_GB2312" w:eastAsia="仿宋_GB2312"/>
          <w:sz w:val="32"/>
          <w:szCs w:val="32"/>
        </w:rPr>
        <w:t>采取定期检查、随机抽查、错时检查的方式，突出检查重点，对网吧、娱乐场所接纳未成年人，酒吧容留未成年人工作、接纳未成年人吸食“嗨气球”， 非法“一日游”，虚假宣传，强行安排指定购物场所等违法违规行为进行常态化检查。</w:t>
      </w:r>
      <w:r>
        <w:rPr>
          <w:rFonts w:hint="eastAsia" w:ascii="仿宋_GB2312" w:eastAsia="仿宋_GB2312"/>
          <w:b/>
          <w:bCs/>
          <w:sz w:val="32"/>
          <w:szCs w:val="32"/>
        </w:rPr>
        <w:t>三是</w:t>
      </w:r>
      <w:r>
        <w:rPr>
          <w:rFonts w:hint="eastAsia" w:ascii="仿宋_GB2312" w:eastAsia="仿宋_GB2312"/>
          <w:sz w:val="32"/>
          <w:szCs w:val="32"/>
        </w:rPr>
        <w:t>深入开展安全检查，开展了今冬明春、重点行业领域十大专项整治、商业综合体安全生产专项整治等检查行动，召开了“2019年莲湖区旅游行业安全生产培训会”，与131家涉旅企业签订了安全责任书。对辖区内的网吧、KTV、景区景点、旅行社、星级酒店等文化旅游场所，定期组织安全生产检查。</w:t>
      </w:r>
    </w:p>
    <w:p>
      <w:pPr>
        <w:pStyle w:val="8"/>
        <w:spacing w:line="560" w:lineRule="exact"/>
        <w:ind w:firstLine="640" w:firstLineChars="200"/>
        <w:rPr>
          <w:rFonts w:ascii="黑体" w:eastAsia="黑体" w:cs="楷体"/>
          <w:bCs/>
          <w:color w:val="000000"/>
          <w:sz w:val="32"/>
          <w:szCs w:val="32"/>
        </w:rPr>
      </w:pPr>
      <w:r>
        <w:rPr>
          <w:rFonts w:hint="eastAsia" w:ascii="黑体" w:eastAsia="黑体" w:cs="楷体"/>
          <w:bCs/>
          <w:color w:val="000000"/>
          <w:sz w:val="32"/>
          <w:szCs w:val="32"/>
        </w:rPr>
        <w:t>三、部门决算单位构成</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 xml:space="preserve">纳入本部门2019年度部门决算编制范围的单位包括本级机关无下级单位：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tcPr>
          <w:p>
            <w:pPr>
              <w:pStyle w:val="8"/>
              <w:spacing w:line="560" w:lineRule="exact"/>
              <w:jc w:val="center"/>
              <w:rPr>
                <w:rFonts w:ascii="仿宋_GB2312" w:eastAsia="仿宋_GB2312"/>
                <w:color w:val="000000"/>
                <w:sz w:val="32"/>
                <w:szCs w:val="32"/>
              </w:rPr>
            </w:pPr>
            <w:r>
              <w:rPr>
                <w:rFonts w:hint="eastAsia" w:ascii="仿宋_GB2312" w:eastAsia="仿宋_GB2312"/>
                <w:color w:val="000000"/>
                <w:sz w:val="32"/>
                <w:szCs w:val="32"/>
              </w:rPr>
              <w:t>序号</w:t>
            </w:r>
          </w:p>
        </w:tc>
        <w:tc>
          <w:tcPr>
            <w:tcW w:w="5670" w:type="dxa"/>
          </w:tcPr>
          <w:p>
            <w:pPr>
              <w:pStyle w:val="8"/>
              <w:spacing w:line="560" w:lineRule="exact"/>
              <w:jc w:val="center"/>
              <w:rPr>
                <w:rFonts w:ascii="仿宋_GB2312" w:eastAsia="仿宋_GB2312"/>
                <w:color w:val="000000"/>
                <w:sz w:val="32"/>
                <w:szCs w:val="32"/>
              </w:rPr>
            </w:pPr>
            <w:r>
              <w:rPr>
                <w:rFonts w:hint="eastAsia" w:ascii="仿宋_GB2312" w:eastAsia="仿宋_GB2312"/>
                <w:color w:val="000000"/>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tcPr>
          <w:p>
            <w:pPr>
              <w:pStyle w:val="8"/>
              <w:spacing w:line="560" w:lineRule="exact"/>
              <w:jc w:val="center"/>
              <w:rPr>
                <w:rFonts w:ascii="仿宋_GB2312" w:eastAsia="仿宋_GB2312"/>
                <w:color w:val="000000"/>
                <w:sz w:val="32"/>
                <w:szCs w:val="32"/>
              </w:rPr>
            </w:pPr>
            <w:r>
              <w:rPr>
                <w:rFonts w:hint="eastAsia" w:ascii="仿宋_GB2312" w:eastAsia="仿宋_GB2312"/>
                <w:color w:val="000000"/>
                <w:sz w:val="32"/>
                <w:szCs w:val="32"/>
              </w:rPr>
              <w:t>1</w:t>
            </w:r>
          </w:p>
        </w:tc>
        <w:tc>
          <w:tcPr>
            <w:tcW w:w="5670" w:type="dxa"/>
          </w:tcPr>
          <w:p>
            <w:pPr>
              <w:pStyle w:val="8"/>
              <w:spacing w:line="560" w:lineRule="exact"/>
              <w:jc w:val="center"/>
              <w:rPr>
                <w:rFonts w:ascii="仿宋_GB2312" w:eastAsia="仿宋_GB2312"/>
                <w:color w:val="000000"/>
                <w:sz w:val="32"/>
                <w:szCs w:val="32"/>
              </w:rPr>
            </w:pPr>
            <w:r>
              <w:rPr>
                <w:rFonts w:hint="eastAsia" w:ascii="仿宋_GB2312" w:eastAsia="仿宋_GB2312"/>
                <w:color w:val="000000"/>
                <w:sz w:val="32"/>
                <w:szCs w:val="32"/>
              </w:rPr>
              <w:t>西安市莲湖区旅游局（本级）</w:t>
            </w:r>
          </w:p>
        </w:tc>
      </w:tr>
    </w:tbl>
    <w:p>
      <w:pPr>
        <w:pStyle w:val="8"/>
        <w:spacing w:line="560" w:lineRule="exact"/>
        <w:ind w:firstLine="640" w:firstLineChars="200"/>
        <w:rPr>
          <w:rFonts w:ascii="黑体" w:eastAsia="黑体" w:cs="楷体"/>
          <w:bCs/>
          <w:color w:val="000000"/>
          <w:sz w:val="32"/>
          <w:szCs w:val="32"/>
        </w:rPr>
      </w:pPr>
      <w:r>
        <w:rPr>
          <w:rFonts w:hint="eastAsia" w:ascii="黑体" w:eastAsia="黑体" w:cs="楷体"/>
          <w:bCs/>
          <w:color w:val="000000"/>
          <w:sz w:val="32"/>
          <w:szCs w:val="32"/>
        </w:rPr>
        <w:t>四、部门人员情况说明</w:t>
      </w:r>
    </w:p>
    <w:p>
      <w:pPr>
        <w:shd w:val="solid" w:color="FFFFFF" w:fill="auto"/>
        <w:autoSpaceDN w:val="0"/>
        <w:spacing w:line="560" w:lineRule="exact"/>
        <w:ind w:firstLine="645"/>
        <w:rPr>
          <w:rFonts w:ascii="仿宋_GB2312" w:eastAsia="仿宋_GB2312" w:cs="仿宋_GB2312"/>
          <w:color w:val="2B2B2B"/>
          <w:sz w:val="32"/>
          <w:szCs w:val="32"/>
          <w:shd w:val="clear" w:color="auto" w:fill="FFFFFF"/>
        </w:rPr>
      </w:pPr>
      <w:r>
        <w:rPr>
          <w:rFonts w:hint="eastAsia" w:ascii="仿宋_GB2312" w:eastAsia="仿宋_GB2312"/>
          <w:color w:val="000000"/>
          <w:sz w:val="32"/>
          <w:szCs w:val="32"/>
        </w:rPr>
        <w:t>截至2019年底，</w:t>
      </w:r>
      <w:r>
        <w:rPr>
          <w:rFonts w:hint="eastAsia" w:ascii="仿宋_GB2312" w:eastAsia="仿宋_GB2312" w:cs="仿宋_GB2312"/>
          <w:color w:val="2B2B2B"/>
          <w:sz w:val="32"/>
          <w:szCs w:val="32"/>
          <w:shd w:val="clear" w:color="auto" w:fill="FFFFFF"/>
        </w:rPr>
        <w:t>2018年底实有在编人员12人，退休人员1人。</w:t>
      </w:r>
    </w:p>
    <w:p>
      <w:pPr>
        <w:pStyle w:val="8"/>
        <w:ind w:firstLine="360" w:firstLineChars="200"/>
        <w:rPr>
          <w:rFonts w:ascii="仿宋_GB2312" w:eastAsia="仿宋_GB2312"/>
          <w:color w:val="000000"/>
          <w:sz w:val="18"/>
          <w:szCs w:val="18"/>
        </w:rPr>
      </w:pPr>
      <w:r>
        <w:rPr>
          <w:rFonts w:ascii="仿宋_GB2312" w:eastAsia="仿宋_GB2312"/>
          <w:color w:val="000000"/>
          <w:sz w:val="18"/>
          <w:szCs w:val="18"/>
        </w:rPr>
        <w:drawing>
          <wp:inline distT="0" distB="0" distL="0" distR="0">
            <wp:extent cx="4191000" cy="2009775"/>
            <wp:effectExtent l="0" t="0" r="0" b="0"/>
            <wp:docPr id="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8"/>
        <w:ind w:firstLine="360" w:firstLineChars="200"/>
        <w:rPr>
          <w:rFonts w:ascii="仿宋_GB2312" w:eastAsia="仿宋_GB2312"/>
          <w:color w:val="000000"/>
          <w:sz w:val="18"/>
          <w:szCs w:val="18"/>
        </w:rPr>
      </w:pPr>
    </w:p>
    <w:p>
      <w:pPr>
        <w:ind w:right="880" w:firstLine="640" w:firstLineChars="200"/>
        <w:textAlignment w:val="center"/>
        <w:rPr>
          <w:rFonts w:ascii="宋体" w:hAnsi="宋体" w:cs="宋体"/>
          <w:b/>
          <w:color w:val="000000"/>
          <w:sz w:val="32"/>
          <w:szCs w:val="32"/>
        </w:rPr>
      </w:pPr>
      <w:r>
        <w:rPr>
          <w:rFonts w:hint="eastAsia" w:ascii="黑体" w:eastAsia="黑体"/>
          <w:color w:val="000000"/>
          <w:sz w:val="32"/>
          <w:szCs w:val="32"/>
        </w:rPr>
        <w:t>第二部分 2019 年部门决算情况说明</w:t>
      </w:r>
    </w:p>
    <w:p>
      <w:pPr>
        <w:ind w:firstLine="640" w:firstLineChars="200"/>
        <w:rPr>
          <w:rFonts w:ascii="黑体" w:eastAsia="黑体"/>
          <w:color w:val="000000"/>
          <w:sz w:val="32"/>
          <w:szCs w:val="32"/>
        </w:rPr>
      </w:pPr>
      <w:r>
        <w:rPr>
          <w:rFonts w:hint="eastAsia" w:ascii="黑体" w:eastAsia="黑体"/>
          <w:bCs/>
          <w:color w:val="000000"/>
          <w:sz w:val="32"/>
          <w:szCs w:val="32"/>
        </w:rPr>
        <w:t>一</w:t>
      </w:r>
      <w:r>
        <w:rPr>
          <w:rFonts w:hint="eastAsia" w:ascii="黑体" w:eastAsia="黑体"/>
          <w:color w:val="000000"/>
          <w:sz w:val="32"/>
          <w:szCs w:val="32"/>
        </w:rPr>
        <w:t>、2019年度收入支出决算总体情况说明</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1、2019年度收入总计382.04万元，较上年减少296.05万元，下降43.65%，主要原因是财政拨款减少。</w:t>
      </w:r>
    </w:p>
    <w:p>
      <w:pPr>
        <w:pStyle w:val="8"/>
        <w:ind w:firstLine="640" w:firstLineChars="200"/>
        <w:rPr>
          <w:rFonts w:ascii="仿宋_GB2312" w:eastAsia="仿宋_GB2312"/>
          <w:color w:val="000000"/>
          <w:sz w:val="32"/>
          <w:szCs w:val="32"/>
        </w:rPr>
      </w:pPr>
      <w:r>
        <w:rPr>
          <w:rFonts w:ascii="仿宋_GB2312" w:eastAsia="仿宋_GB2312"/>
          <w:color w:val="000000"/>
          <w:sz w:val="32"/>
          <w:szCs w:val="32"/>
        </w:rPr>
        <w:drawing>
          <wp:inline distT="0" distB="0" distL="0" distR="0">
            <wp:extent cx="4619625" cy="1962150"/>
            <wp:effectExtent l="0" t="0" r="0" b="0"/>
            <wp:docPr id="8"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2、2019年度支出总计380.51万元，较上年减少297.08万元，下降43.84%，主要原因是厉行节约、缩减开支。</w:t>
      </w:r>
    </w:p>
    <w:p>
      <w:pPr>
        <w:pStyle w:val="8"/>
        <w:ind w:firstLine="640" w:firstLineChars="200"/>
        <w:rPr>
          <w:rFonts w:ascii="黑体" w:eastAsia="黑体"/>
          <w:bCs/>
          <w:color w:val="000000"/>
          <w:sz w:val="32"/>
          <w:szCs w:val="32"/>
        </w:rPr>
      </w:pPr>
      <w:r>
        <w:rPr>
          <w:rFonts w:hint="eastAsia" w:ascii="黑体" w:eastAsia="黑体"/>
          <w:bCs/>
          <w:color w:val="000000"/>
          <w:sz w:val="32"/>
          <w:szCs w:val="32"/>
        </w:rPr>
        <w:drawing>
          <wp:inline distT="0" distB="0" distL="0" distR="0">
            <wp:extent cx="4619625" cy="1866900"/>
            <wp:effectExtent l="0" t="0" r="0" b="0"/>
            <wp:docPr id="9"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8"/>
        <w:spacing w:line="560" w:lineRule="exact"/>
        <w:ind w:firstLine="640" w:firstLineChars="200"/>
        <w:rPr>
          <w:rFonts w:ascii="仿宋_GB2312" w:eastAsia="仿宋_GB2312"/>
          <w:color w:val="000000"/>
          <w:sz w:val="30"/>
          <w:szCs w:val="30"/>
        </w:rPr>
      </w:pPr>
      <w:r>
        <w:rPr>
          <w:rFonts w:hint="eastAsia" w:ascii="黑体" w:eastAsia="黑体"/>
          <w:bCs/>
          <w:color w:val="000000"/>
          <w:sz w:val="32"/>
          <w:szCs w:val="32"/>
        </w:rPr>
        <w:t>二、2019年度收入决算情况说明</w:t>
      </w:r>
      <w:r>
        <w:rPr>
          <w:rFonts w:hint="eastAsia" w:ascii="仿宋_GB2312" w:eastAsia="仿宋_GB2312"/>
          <w:color w:val="000000"/>
          <w:sz w:val="32"/>
          <w:szCs w:val="32"/>
        </w:rPr>
        <w:t>（可采用图表进行辅助说明）</w:t>
      </w:r>
    </w:p>
    <w:p>
      <w:pPr>
        <w:pStyle w:val="8"/>
        <w:shd w:val="clear" w:color="auto" w:fill="FFFFFF"/>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2019年度收入总计382.04万元。其中:</w:t>
      </w:r>
    </w:p>
    <w:p>
      <w:pPr>
        <w:pStyle w:val="8"/>
        <w:shd w:val="clear" w:color="auto" w:fill="FFFFFF"/>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1）财政拨款收入382.04万元，占总收入的100%，较上年减少296.05万元，下降43.65%,包括：一般公共预算财政拨款350.53万元，较上年减少203.1万元，下降36.69%，主要原因是财政拨款减少；政府性基金预算财政拨款29万元，较上年增加29万元，增长100%，主要原因是政府性基金财政拨款增加。</w:t>
      </w:r>
    </w:p>
    <w:p>
      <w:pPr>
        <w:pStyle w:val="8"/>
        <w:shd w:val="clear" w:color="auto" w:fill="FFFFFF"/>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（2）事业收入0万元，占总收入的0%，是事业单位开展专业业务活动及其辅助活动取得的收入，较上年增加(减少) 0万元，增长（下降）0%，主要原因是无事业收入。</w:t>
      </w:r>
    </w:p>
    <w:p>
      <w:pPr>
        <w:pStyle w:val="8"/>
        <w:shd w:val="clear" w:color="auto" w:fill="FFFFFF"/>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（3）其他收入31.5万元，占总收入的8.25%，是取得的除财政拨款收入等以外的各项收入，占总收入的8.25%，较上年增加18.79万元，增长147.84%，主要原因是其他单位转入。</w:t>
      </w:r>
    </w:p>
    <w:p>
      <w:pPr>
        <w:pStyle w:val="8"/>
        <w:shd w:val="clear" w:color="auto" w:fill="FFFFFF"/>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 xml:space="preserve">（4）用事业基金弥补收支差额0万元。 </w:t>
      </w:r>
    </w:p>
    <w:p>
      <w:pPr>
        <w:pStyle w:val="8"/>
        <w:shd w:val="clear" w:color="auto" w:fill="FFFFFF"/>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（5）上年结转结余0.5元, 为以前年度尚未列支，结转到本年仍按规定用途继续使用的资金。</w:t>
      </w:r>
    </w:p>
    <w:p>
      <w:pPr>
        <w:pStyle w:val="8"/>
        <w:ind w:firstLine="640" w:firstLineChars="200"/>
        <w:rPr>
          <w:rFonts w:ascii="黑体" w:eastAsia="黑体"/>
          <w:bCs/>
          <w:color w:val="000000"/>
          <w:sz w:val="32"/>
          <w:szCs w:val="32"/>
        </w:rPr>
      </w:pPr>
      <w:r>
        <w:rPr>
          <w:rFonts w:hint="eastAsia" w:ascii="黑体" w:eastAsia="黑体"/>
          <w:bCs/>
          <w:color w:val="000000"/>
          <w:sz w:val="32"/>
          <w:szCs w:val="32"/>
        </w:rPr>
        <w:drawing>
          <wp:inline distT="0" distB="0" distL="0" distR="0">
            <wp:extent cx="4810125" cy="1752600"/>
            <wp:effectExtent l="0" t="0" r="0" b="0"/>
            <wp:docPr id="10"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8"/>
        <w:spacing w:line="560" w:lineRule="exact"/>
        <w:ind w:firstLine="640" w:firstLineChars="200"/>
        <w:rPr>
          <w:rFonts w:ascii="仿宋_GB2312" w:eastAsia="仿宋_GB2312"/>
          <w:color w:val="000000"/>
          <w:sz w:val="32"/>
          <w:szCs w:val="32"/>
        </w:rPr>
      </w:pPr>
      <w:r>
        <w:rPr>
          <w:rFonts w:hint="eastAsia" w:ascii="黑体" w:eastAsia="黑体"/>
          <w:bCs/>
          <w:color w:val="000000"/>
          <w:sz w:val="32"/>
          <w:szCs w:val="32"/>
        </w:rPr>
        <w:t>三、2019年度支出决算情况说明情况</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2019年本年支出合计380.51万元。其中:</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（1）基本支出291.36万元，占总支出的76.57%，是为保障机构正常运转、完成日常工作任务而发生的各项支出，包括人员经费170.1万元和公用经费121.27万元，较上年增加146.72万元，增长101.4%，主要原因是人员变动。</w:t>
      </w:r>
    </w:p>
    <w:p>
      <w:pPr>
        <w:pStyle w:val="8"/>
        <w:spacing w:line="560" w:lineRule="exact"/>
        <w:ind w:firstLine="643" w:firstLineChars="200"/>
        <w:rPr>
          <w:rFonts w:ascii="仿宋_GB2312" w:eastAsia="仿宋_GB2312"/>
          <w:color w:val="000000"/>
          <w:sz w:val="32"/>
          <w:szCs w:val="32"/>
        </w:rPr>
      </w:pPr>
      <w:r>
        <w:rPr>
          <w:rFonts w:hint="eastAsia" w:ascii="仿宋_GB2312" w:eastAsia="仿宋_GB2312"/>
          <w:b/>
          <w:bCs/>
          <w:color w:val="000000"/>
          <w:sz w:val="32"/>
          <w:szCs w:val="32"/>
        </w:rPr>
        <w:t>（</w:t>
      </w:r>
      <w:r>
        <w:rPr>
          <w:rFonts w:hint="eastAsia" w:ascii="仿宋_GB2312" w:eastAsia="仿宋_GB2312"/>
          <w:color w:val="000000"/>
          <w:sz w:val="32"/>
          <w:szCs w:val="32"/>
        </w:rPr>
        <w:t>2）项目支出89.15万元，占总支出的23.43%，是为完成特定的工作任务或事业发展目标，在基本支出之外发生的支出，较上年减少443.8万元，下降83.27%，主要原因是项目经费减少。</w:t>
      </w:r>
    </w:p>
    <w:p>
      <w:pPr>
        <w:pStyle w:val="8"/>
        <w:ind w:firstLine="640" w:firstLineChars="200"/>
        <w:rPr>
          <w:rFonts w:ascii="黑体" w:eastAsia="黑体"/>
          <w:bCs/>
          <w:color w:val="000000"/>
          <w:sz w:val="32"/>
          <w:szCs w:val="32"/>
        </w:rPr>
      </w:pPr>
      <w:r>
        <w:rPr>
          <w:rFonts w:hint="eastAsia" w:ascii="黑体" w:eastAsia="黑体"/>
          <w:bCs/>
          <w:color w:val="000000"/>
          <w:sz w:val="32"/>
          <w:szCs w:val="32"/>
        </w:rPr>
        <w:drawing>
          <wp:inline distT="0" distB="0" distL="0" distR="0">
            <wp:extent cx="4962525" cy="1524000"/>
            <wp:effectExtent l="0" t="0" r="0" b="0"/>
            <wp:docPr id="11"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8"/>
        <w:spacing w:line="560" w:lineRule="exact"/>
        <w:ind w:firstLine="640" w:firstLineChars="200"/>
        <w:rPr>
          <w:rFonts w:ascii="黑体" w:eastAsia="黑体"/>
          <w:bCs/>
          <w:color w:val="000000"/>
          <w:sz w:val="32"/>
          <w:szCs w:val="32"/>
        </w:rPr>
      </w:pPr>
      <w:r>
        <w:rPr>
          <w:rFonts w:hint="eastAsia" w:ascii="黑体" w:eastAsia="黑体"/>
          <w:bCs/>
          <w:color w:val="000000"/>
          <w:sz w:val="32"/>
          <w:szCs w:val="32"/>
        </w:rPr>
        <w:t>四、2019年度财政拨款收入支出决算总体情况说明</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1、2019年度财政拨款收入382.04万元，较上年减少296.05万元，下降43.65%，主要原因是财政拨款减少。</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2、2019年度支出总计380.51万元，较上年减少297.08万元，下降43.84%，主要原因是厉行节约、缩减开支。</w:t>
      </w:r>
    </w:p>
    <w:p>
      <w:pPr>
        <w:pStyle w:val="8"/>
        <w:ind w:firstLine="640" w:firstLineChars="200"/>
        <w:rPr>
          <w:rFonts w:ascii="黑体" w:eastAsia="黑体"/>
          <w:bCs/>
          <w:color w:val="000000"/>
          <w:sz w:val="32"/>
          <w:szCs w:val="32"/>
        </w:rPr>
      </w:pPr>
      <w:r>
        <w:rPr>
          <w:rFonts w:hint="eastAsia" w:ascii="黑体" w:eastAsia="黑体"/>
          <w:bCs/>
          <w:color w:val="000000"/>
          <w:sz w:val="32"/>
          <w:szCs w:val="32"/>
        </w:rPr>
        <w:drawing>
          <wp:inline distT="0" distB="0" distL="0" distR="0">
            <wp:extent cx="4743450" cy="1933575"/>
            <wp:effectExtent l="0" t="0" r="0" b="0"/>
            <wp:docPr id="12"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8"/>
        <w:spacing w:line="560" w:lineRule="exact"/>
        <w:ind w:firstLine="640" w:firstLineChars="200"/>
        <w:rPr>
          <w:rFonts w:ascii="仿宋_GB2312" w:eastAsia="仿宋_GB2312"/>
          <w:color w:val="000000"/>
          <w:sz w:val="32"/>
          <w:szCs w:val="32"/>
        </w:rPr>
      </w:pPr>
      <w:r>
        <w:rPr>
          <w:rFonts w:hint="eastAsia" w:ascii="黑体" w:eastAsia="黑体"/>
          <w:bCs/>
          <w:color w:val="000000"/>
          <w:sz w:val="32"/>
          <w:szCs w:val="32"/>
        </w:rPr>
        <w:t>五、一般公共预算财政拨款支出决算情况。</w:t>
      </w:r>
    </w:p>
    <w:p>
      <w:pPr>
        <w:ind w:firstLine="640" w:firstLineChars="200"/>
        <w:rPr>
          <w:rFonts w:ascii="黑体" w:eastAsia="黑体" w:cs="??_GB2312"/>
          <w:bCs/>
          <w:color w:val="000000"/>
          <w:sz w:val="32"/>
          <w:szCs w:val="32"/>
        </w:rPr>
      </w:pPr>
      <w:r>
        <w:rPr>
          <w:rFonts w:hint="eastAsia" w:ascii="黑体" w:eastAsia="黑体" w:cs="??_GB2312"/>
          <w:bCs/>
          <w:color w:val="000000"/>
          <w:sz w:val="32"/>
          <w:szCs w:val="32"/>
        </w:rPr>
        <w:t>（一）财政拨款支出决算总体情况说明</w:t>
      </w:r>
    </w:p>
    <w:p>
      <w:pPr>
        <w:ind w:firstLine="640" w:firstLineChars="200"/>
        <w:rPr>
          <w:rFonts w:ascii="仿宋_GB2312" w:eastAsia="仿宋_GB2312"/>
          <w:color w:val="000000"/>
          <w:sz w:val="32"/>
          <w:szCs w:val="32"/>
        </w:rPr>
      </w:pPr>
      <w:r>
        <w:rPr>
          <w:rFonts w:hint="eastAsia" w:ascii="仿宋_GB2312" w:eastAsia="仿宋_GB2312" w:cs="??_GB2312"/>
          <w:color w:val="000000"/>
          <w:sz w:val="32"/>
          <w:szCs w:val="32"/>
        </w:rPr>
        <w:t>2019 年财政拨款支出</w:t>
      </w:r>
      <w:r>
        <w:rPr>
          <w:rFonts w:hint="eastAsia" w:ascii="仿宋_GB2312" w:eastAsia="仿宋_GB2312"/>
          <w:color w:val="000000"/>
          <w:sz w:val="32"/>
          <w:szCs w:val="32"/>
        </w:rPr>
        <w:t>380.51</w:t>
      </w:r>
      <w:r>
        <w:rPr>
          <w:rFonts w:hint="eastAsia" w:ascii="仿宋_GB2312" w:eastAsia="仿宋_GB2312" w:cs="??_GB2312"/>
          <w:color w:val="000000"/>
          <w:sz w:val="32"/>
          <w:szCs w:val="32"/>
        </w:rPr>
        <w:t xml:space="preserve"> 万元，占本年支出合 </w:t>
      </w:r>
    </w:p>
    <w:p>
      <w:pPr>
        <w:rPr>
          <w:rFonts w:ascii="仿宋_GB2312" w:eastAsia="仿宋_GB2312" w:cs="??_GB2312"/>
          <w:color w:val="000000"/>
          <w:sz w:val="32"/>
          <w:szCs w:val="32"/>
        </w:rPr>
      </w:pPr>
      <w:r>
        <w:rPr>
          <w:rFonts w:hint="eastAsia" w:ascii="仿宋_GB2312" w:eastAsia="仿宋_GB2312" w:cs="??_GB2312"/>
          <w:color w:val="000000"/>
          <w:sz w:val="32"/>
          <w:szCs w:val="32"/>
        </w:rPr>
        <w:t>计的</w:t>
      </w:r>
      <w:r>
        <w:rPr>
          <w:rFonts w:hint="eastAsia" w:ascii="仿宋_GB2312" w:eastAsia="仿宋_GB2312"/>
          <w:color w:val="000000"/>
          <w:sz w:val="32"/>
          <w:szCs w:val="32"/>
        </w:rPr>
        <w:t>100</w:t>
      </w:r>
      <w:r>
        <w:rPr>
          <w:rFonts w:hint="eastAsia" w:ascii="仿宋_GB2312" w:eastAsia="仿宋_GB2312" w:cs="??_GB2312"/>
          <w:color w:val="000000"/>
          <w:sz w:val="32"/>
          <w:szCs w:val="32"/>
        </w:rPr>
        <w:t>%。与上年相比，财政拨款支出减少297.08万元，</w:t>
      </w:r>
    </w:p>
    <w:p>
      <w:pPr>
        <w:rPr>
          <w:rFonts w:ascii="仿宋_GB2312" w:eastAsia="仿宋_GB2312"/>
          <w:color w:val="000000"/>
          <w:sz w:val="32"/>
          <w:szCs w:val="32"/>
        </w:rPr>
      </w:pPr>
      <w:r>
        <w:rPr>
          <w:rFonts w:hint="eastAsia" w:ascii="仿宋_GB2312" w:eastAsia="仿宋_GB2312" w:cs="??_GB2312"/>
          <w:color w:val="000000"/>
          <w:sz w:val="32"/>
          <w:szCs w:val="32"/>
        </w:rPr>
        <w:t>减少43.84%，主要原因是</w:t>
      </w:r>
      <w:r>
        <w:rPr>
          <w:rFonts w:hint="eastAsia" w:ascii="仿宋_GB2312" w:eastAsia="仿宋_GB2312"/>
          <w:color w:val="000000"/>
          <w:sz w:val="32"/>
          <w:szCs w:val="32"/>
        </w:rPr>
        <w:t>厉行节约、缩减开支</w:t>
      </w:r>
      <w:r>
        <w:rPr>
          <w:rFonts w:hint="eastAsia" w:ascii="仿宋_GB2312" w:eastAsia="仿宋_GB2312" w:cs="??_GB2312"/>
          <w:color w:val="000000"/>
          <w:sz w:val="32"/>
          <w:szCs w:val="32"/>
        </w:rPr>
        <w:t>。</w:t>
      </w:r>
    </w:p>
    <w:p>
      <w:pPr>
        <w:spacing w:line="360" w:lineRule="auto"/>
        <w:ind w:firstLine="640" w:firstLineChars="200"/>
        <w:rPr>
          <w:rFonts w:ascii="黑体" w:eastAsia="黑体" w:cs="??_GB2312"/>
          <w:bCs/>
          <w:color w:val="000000"/>
          <w:sz w:val="32"/>
          <w:szCs w:val="32"/>
        </w:rPr>
      </w:pPr>
      <w:r>
        <w:rPr>
          <w:rFonts w:hint="eastAsia" w:ascii="黑体" w:eastAsia="黑体" w:cs="??_GB2312"/>
          <w:bCs/>
          <w:color w:val="000000"/>
          <w:sz w:val="32"/>
          <w:szCs w:val="32"/>
        </w:rPr>
        <w:drawing>
          <wp:inline distT="0" distB="0" distL="0" distR="0">
            <wp:extent cx="4476750" cy="1857375"/>
            <wp:effectExtent l="0" t="0" r="0" b="0"/>
            <wp:docPr id="13"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spacing w:line="360" w:lineRule="auto"/>
        <w:ind w:firstLine="640" w:firstLineChars="200"/>
        <w:rPr>
          <w:rFonts w:ascii="仿宋_GB2312" w:eastAsia="仿宋_GB2312"/>
          <w:color w:val="000000"/>
          <w:sz w:val="32"/>
          <w:szCs w:val="32"/>
        </w:rPr>
      </w:pPr>
      <w:r>
        <w:rPr>
          <w:rFonts w:hint="eastAsia" w:ascii="黑体" w:eastAsia="黑体" w:cs="??_GB2312"/>
          <w:bCs/>
          <w:color w:val="000000"/>
          <w:sz w:val="32"/>
          <w:szCs w:val="32"/>
        </w:rPr>
        <w:t>（二）财政拨款支出决算具体情况说明。</w:t>
      </w:r>
    </w:p>
    <w:p>
      <w:pPr>
        <w:spacing w:line="360" w:lineRule="auto"/>
        <w:ind w:firstLine="640" w:firstLineChars="200"/>
        <w:rPr>
          <w:rFonts w:ascii="黑体" w:eastAsia="黑体" w:cs="??_GB2312"/>
          <w:bCs/>
          <w:color w:val="000000"/>
          <w:sz w:val="32"/>
          <w:szCs w:val="32"/>
        </w:rPr>
      </w:pPr>
      <w:r>
        <w:rPr>
          <w:rFonts w:hint="eastAsia" w:ascii="仿宋_GB2312" w:eastAsia="仿宋_GB2312"/>
          <w:color w:val="000000"/>
          <w:sz w:val="32"/>
          <w:szCs w:val="32"/>
        </w:rPr>
        <w:t>2019 年财政拨款支出年初预算为226.04万元，支出决算为380.51万元，完成年初预算的168.36%。按支出功能分类科目，其中:</w:t>
      </w:r>
    </w:p>
    <w:p>
      <w:pPr>
        <w:pStyle w:val="8"/>
        <w:spacing w:line="560" w:lineRule="exact"/>
        <w:ind w:firstLine="633"/>
        <w:rPr>
          <w:rFonts w:ascii="黑体" w:eastAsia="黑体" w:cs="仿宋_GB2312"/>
          <w:bCs/>
          <w:color w:val="000000"/>
          <w:sz w:val="32"/>
          <w:szCs w:val="32"/>
        </w:rPr>
      </w:pPr>
      <w:r>
        <w:rPr>
          <w:rFonts w:hint="eastAsia" w:ascii="仿宋_GB2312" w:eastAsia="仿宋_GB2312"/>
          <w:color w:val="000000"/>
          <w:sz w:val="32"/>
          <w:szCs w:val="32"/>
        </w:rPr>
        <w:t>1、</w:t>
      </w:r>
      <w:r>
        <w:rPr>
          <w:rFonts w:hint="eastAsia" w:ascii="黑体" w:eastAsia="黑体" w:cs="仿宋_GB2312"/>
          <w:bCs/>
          <w:color w:val="000000"/>
          <w:sz w:val="32"/>
          <w:szCs w:val="32"/>
        </w:rPr>
        <w:t>文化旅游体育与传媒支出（类）文化和旅游（款）行政运行（项）。2070101</w:t>
      </w:r>
    </w:p>
    <w:p>
      <w:pPr>
        <w:pStyle w:val="8"/>
        <w:spacing w:line="560" w:lineRule="exact"/>
        <w:ind w:firstLine="633"/>
        <w:rPr>
          <w:rFonts w:ascii="仿宋_GB2312" w:eastAsia="仿宋_GB2312"/>
          <w:color w:val="000000"/>
          <w:sz w:val="32"/>
          <w:szCs w:val="32"/>
        </w:rPr>
      </w:pPr>
      <w:r>
        <w:rPr>
          <w:rFonts w:hint="eastAsia" w:ascii="仿宋_GB2312" w:eastAsia="仿宋_GB2312"/>
          <w:color w:val="000000"/>
          <w:sz w:val="32"/>
          <w:szCs w:val="32"/>
        </w:rPr>
        <w:t>年初预算为117.01万元，支出决算为211.87万元，完成年初预算的181.07%。决算数大于预算数的主要原因是财政拨款增加。较上年增加80.5万元，增加61.2%，主要原因是财政拨款增加；</w:t>
      </w:r>
    </w:p>
    <w:p>
      <w:pPr>
        <w:pStyle w:val="8"/>
        <w:spacing w:line="560" w:lineRule="exact"/>
        <w:ind w:firstLine="633"/>
        <w:rPr>
          <w:rFonts w:ascii="黑体" w:eastAsia="黑体" w:cs="仿宋_GB2312"/>
          <w:bCs/>
          <w:color w:val="000000"/>
          <w:sz w:val="32"/>
          <w:szCs w:val="32"/>
        </w:rPr>
      </w:pPr>
      <w:r>
        <w:rPr>
          <w:rFonts w:hint="eastAsia" w:ascii="仿宋_GB2312" w:eastAsia="仿宋_GB2312"/>
          <w:color w:val="000000"/>
          <w:sz w:val="32"/>
          <w:szCs w:val="32"/>
        </w:rPr>
        <w:t>2、</w:t>
      </w:r>
      <w:r>
        <w:rPr>
          <w:rFonts w:hint="eastAsia" w:ascii="黑体" w:eastAsia="黑体" w:cs="仿宋_GB2312"/>
          <w:bCs/>
          <w:color w:val="000000"/>
          <w:sz w:val="32"/>
          <w:szCs w:val="32"/>
        </w:rPr>
        <w:t>文化旅游体育与传媒支出（类）文化和旅游（款）一般行政管理事务（项）。2070102</w:t>
      </w:r>
    </w:p>
    <w:p>
      <w:pPr>
        <w:pStyle w:val="8"/>
        <w:spacing w:line="560" w:lineRule="exact"/>
        <w:ind w:firstLine="633"/>
        <w:rPr>
          <w:rFonts w:ascii="仿宋_GB2312" w:eastAsia="仿宋_GB2312"/>
          <w:color w:val="000000"/>
          <w:sz w:val="32"/>
          <w:szCs w:val="32"/>
        </w:rPr>
      </w:pPr>
      <w:r>
        <w:rPr>
          <w:rFonts w:hint="eastAsia" w:ascii="仿宋_GB2312" w:eastAsia="仿宋_GB2312"/>
          <w:color w:val="000000"/>
          <w:sz w:val="32"/>
          <w:szCs w:val="32"/>
        </w:rPr>
        <w:t>年初预算为109万元，支出决算为69.15万元，完成年初预算的63.4%。决算数小于预算数的主要原因是财政拨款减少。较上年增加21.85万元，增长46.2%，主要原因是项目减少部分支出；</w:t>
      </w:r>
    </w:p>
    <w:p>
      <w:pPr>
        <w:pStyle w:val="8"/>
        <w:spacing w:line="560" w:lineRule="exact"/>
        <w:ind w:firstLine="633"/>
        <w:rPr>
          <w:rFonts w:ascii="黑体" w:eastAsia="黑体" w:cs="仿宋_GB2312"/>
          <w:bCs/>
          <w:color w:val="000000"/>
          <w:sz w:val="32"/>
          <w:szCs w:val="32"/>
        </w:rPr>
      </w:pPr>
      <w:r>
        <w:rPr>
          <w:rFonts w:hint="eastAsia" w:ascii="仿宋_GB2312" w:eastAsia="仿宋_GB2312"/>
          <w:color w:val="000000"/>
          <w:sz w:val="32"/>
          <w:szCs w:val="32"/>
        </w:rPr>
        <w:t>3、</w:t>
      </w:r>
      <w:r>
        <w:rPr>
          <w:rFonts w:hint="eastAsia" w:ascii="黑体" w:eastAsia="黑体" w:cs="仿宋_GB2312"/>
          <w:bCs/>
          <w:color w:val="000000"/>
          <w:sz w:val="32"/>
          <w:szCs w:val="32"/>
        </w:rPr>
        <w:t>文化旅游体育与传媒支出（类）文化和旅游（款）其他文化和旅游支出（项）。2070199</w:t>
      </w:r>
    </w:p>
    <w:p>
      <w:pPr>
        <w:pStyle w:val="8"/>
        <w:spacing w:line="560" w:lineRule="exact"/>
        <w:ind w:firstLine="633"/>
        <w:rPr>
          <w:rFonts w:ascii="仿宋_GB2312" w:eastAsia="仿宋_GB2312"/>
          <w:color w:val="000000"/>
          <w:sz w:val="32"/>
          <w:szCs w:val="32"/>
        </w:rPr>
      </w:pPr>
      <w:r>
        <w:rPr>
          <w:rFonts w:hint="eastAsia" w:ascii="仿宋_GB2312" w:eastAsia="仿宋_GB2312"/>
          <w:color w:val="000000"/>
          <w:sz w:val="32"/>
          <w:szCs w:val="32"/>
        </w:rPr>
        <w:t>年初预算为0万元，支出决算为68.3万元。决算数大于预算数的主要原因是财政拨款增加。较上年减少417.35万元，增下降85.9%，主要原因是临聘人员工资福利支出及其他旅游项目支出减少；</w:t>
      </w:r>
    </w:p>
    <w:p>
      <w:pPr>
        <w:pStyle w:val="8"/>
        <w:spacing w:line="560" w:lineRule="exact"/>
        <w:ind w:firstLine="633"/>
        <w:rPr>
          <w:rFonts w:ascii="黑体" w:eastAsia="黑体" w:cs="仿宋_GB2312"/>
          <w:bCs/>
          <w:color w:val="000000"/>
          <w:sz w:val="32"/>
          <w:szCs w:val="32"/>
        </w:rPr>
      </w:pPr>
      <w:r>
        <w:rPr>
          <w:rFonts w:hint="eastAsia" w:ascii="仿宋_GB2312" w:eastAsia="仿宋_GB2312"/>
          <w:color w:val="000000"/>
          <w:sz w:val="32"/>
          <w:szCs w:val="32"/>
        </w:rPr>
        <w:t>4、</w:t>
      </w:r>
      <w:r>
        <w:rPr>
          <w:rFonts w:hint="eastAsia" w:ascii="黑体" w:eastAsia="黑体" w:cs="仿宋_GB2312"/>
          <w:bCs/>
          <w:color w:val="000000"/>
          <w:sz w:val="32"/>
          <w:szCs w:val="32"/>
        </w:rPr>
        <w:t>文化旅游体育与传媒支出（类）旅游发展基金支出（款）地方旅游开发项目补助（项）。2070904</w:t>
      </w:r>
    </w:p>
    <w:p>
      <w:pPr>
        <w:pStyle w:val="8"/>
        <w:spacing w:line="560" w:lineRule="exact"/>
        <w:ind w:firstLine="633"/>
        <w:rPr>
          <w:rFonts w:ascii="仿宋_GB2312" w:eastAsia="仿宋_GB2312"/>
          <w:color w:val="000000"/>
          <w:sz w:val="32"/>
          <w:szCs w:val="32"/>
        </w:rPr>
      </w:pPr>
      <w:r>
        <w:rPr>
          <w:rFonts w:hint="eastAsia" w:ascii="仿宋_GB2312" w:eastAsia="仿宋_GB2312"/>
          <w:color w:val="000000"/>
          <w:sz w:val="32"/>
          <w:szCs w:val="32"/>
        </w:rPr>
        <w:t>年初预算为0万元，支出决算为29万元。决算数大于预算数的主要原因是政府性基金拨款增加。较上年增加29万元，主要原因是对地方旅游项目开发的补助增加；</w:t>
      </w:r>
    </w:p>
    <w:p>
      <w:pPr>
        <w:pStyle w:val="8"/>
        <w:spacing w:line="560" w:lineRule="exact"/>
        <w:ind w:firstLine="633"/>
        <w:rPr>
          <w:rFonts w:ascii="黑体" w:eastAsia="黑体" w:cs="仿宋_GB2312"/>
          <w:bCs/>
          <w:color w:val="000000"/>
          <w:sz w:val="32"/>
          <w:szCs w:val="32"/>
        </w:rPr>
      </w:pPr>
      <w:r>
        <w:rPr>
          <w:rFonts w:hint="eastAsia" w:ascii="仿宋_GB2312" w:eastAsia="仿宋_GB2312"/>
          <w:color w:val="000000"/>
          <w:sz w:val="32"/>
          <w:szCs w:val="32"/>
        </w:rPr>
        <w:t>5、</w:t>
      </w:r>
      <w:r>
        <w:rPr>
          <w:rFonts w:hint="eastAsia" w:ascii="黑体" w:eastAsia="黑体" w:cs="仿宋_GB2312"/>
          <w:bCs/>
          <w:color w:val="000000"/>
          <w:sz w:val="32"/>
          <w:szCs w:val="32"/>
        </w:rPr>
        <w:t>社会保障和就业支出（类）其他社会保障和就业支出（款）其他社会保障和就业支出（项）。2089901</w:t>
      </w:r>
    </w:p>
    <w:p>
      <w:pPr>
        <w:pStyle w:val="8"/>
        <w:spacing w:line="560" w:lineRule="exact"/>
        <w:ind w:firstLine="633"/>
        <w:rPr>
          <w:rFonts w:ascii="仿宋_GB2312" w:eastAsia="仿宋_GB2312"/>
          <w:color w:val="000000"/>
          <w:sz w:val="32"/>
          <w:szCs w:val="32"/>
        </w:rPr>
      </w:pPr>
      <w:r>
        <w:rPr>
          <w:rFonts w:hint="eastAsia" w:ascii="仿宋_GB2312" w:eastAsia="仿宋_GB2312"/>
          <w:color w:val="000000"/>
          <w:sz w:val="32"/>
          <w:szCs w:val="32"/>
        </w:rPr>
        <w:t>年初预算为0元，支出决算为0.17万元。决算数大于预算数的主要原因是人员调整变动支出增加。较上年增加0.17万元，增，主要原因是人调整员变动支出增加；</w:t>
      </w:r>
    </w:p>
    <w:p>
      <w:pPr>
        <w:pStyle w:val="8"/>
        <w:spacing w:line="560" w:lineRule="exact"/>
        <w:ind w:firstLine="633"/>
        <w:rPr>
          <w:rFonts w:ascii="黑体" w:eastAsia="黑体" w:cs="仿宋_GB2312"/>
          <w:bCs/>
          <w:color w:val="000000"/>
          <w:sz w:val="32"/>
          <w:szCs w:val="32"/>
        </w:rPr>
      </w:pPr>
      <w:r>
        <w:rPr>
          <w:rFonts w:hint="eastAsia" w:ascii="仿宋_GB2312" w:eastAsia="仿宋_GB2312"/>
          <w:color w:val="000000"/>
          <w:sz w:val="32"/>
          <w:szCs w:val="32"/>
        </w:rPr>
        <w:t>6、</w:t>
      </w:r>
      <w:r>
        <w:rPr>
          <w:rFonts w:hint="eastAsia" w:ascii="黑体" w:eastAsia="黑体" w:cs="仿宋_GB2312"/>
          <w:bCs/>
          <w:color w:val="000000"/>
          <w:sz w:val="32"/>
          <w:szCs w:val="32"/>
        </w:rPr>
        <w:t>卫生健康支出（类）行政事业单位医疗（款）行政单位医疗（项）。2101101</w:t>
      </w:r>
    </w:p>
    <w:p>
      <w:pPr>
        <w:pStyle w:val="8"/>
        <w:spacing w:line="560" w:lineRule="exact"/>
        <w:ind w:firstLine="633"/>
        <w:rPr>
          <w:rFonts w:ascii="仿宋_GB2312" w:eastAsia="仿宋_GB2312"/>
          <w:color w:val="000000"/>
          <w:sz w:val="32"/>
          <w:szCs w:val="32"/>
        </w:rPr>
      </w:pPr>
      <w:r>
        <w:rPr>
          <w:rFonts w:hint="eastAsia" w:ascii="仿宋_GB2312" w:eastAsia="仿宋_GB2312"/>
          <w:color w:val="000000"/>
          <w:sz w:val="32"/>
          <w:szCs w:val="32"/>
        </w:rPr>
        <w:t>年初预算为0万元，支出决算为2.02万元，。决算数大于预算数的主要原因是人员调整变动。较上年增加2.02万元，主要原因是人员调整变动；</w:t>
      </w:r>
    </w:p>
    <w:p>
      <w:pPr>
        <w:pStyle w:val="8"/>
        <w:shd w:val="clear" w:color="auto" w:fill="FFFFFF"/>
        <w:spacing w:line="560" w:lineRule="exact"/>
        <w:ind w:firstLine="640" w:firstLineChars="200"/>
        <w:rPr>
          <w:rFonts w:ascii="黑体" w:eastAsia="黑体" w:cs="仿宋_GB2312"/>
          <w:bCs/>
          <w:color w:val="000000"/>
          <w:sz w:val="32"/>
          <w:szCs w:val="32"/>
        </w:rPr>
      </w:pPr>
      <w:r>
        <w:rPr>
          <w:rFonts w:hint="eastAsia" w:ascii="黑体" w:eastAsia="黑体"/>
          <w:bCs/>
          <w:color w:val="000000"/>
          <w:sz w:val="32"/>
          <w:szCs w:val="32"/>
        </w:rPr>
        <w:t>六</w:t>
      </w:r>
      <w:r>
        <w:rPr>
          <w:rFonts w:hint="eastAsia" w:ascii="仿宋_GB2312" w:eastAsia="仿宋_GB2312"/>
          <w:color w:val="000000"/>
          <w:sz w:val="32"/>
          <w:szCs w:val="32"/>
        </w:rPr>
        <w:t>、</w:t>
      </w:r>
      <w:r>
        <w:rPr>
          <w:rFonts w:hint="eastAsia" w:ascii="黑体" w:eastAsia="黑体" w:cs="仿宋_GB2312"/>
          <w:bCs/>
          <w:color w:val="000000"/>
          <w:sz w:val="32"/>
          <w:szCs w:val="32"/>
        </w:rPr>
        <w:t>一般公共预算财政拨款基本支出决算情况说明</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2019年度一般公共预算财政拨款基本支出291.36万元，包括：人员经费支170.1万元和公用经费支出121.26万元。较上年增加146.72万元，增长101.4%，主要原因是人员变动。</w:t>
      </w:r>
    </w:p>
    <w:p>
      <w:pPr>
        <w:pStyle w:val="8"/>
        <w:spacing w:line="560" w:lineRule="exact"/>
        <w:ind w:firstLine="640" w:firstLineChars="200"/>
        <w:rPr>
          <w:rFonts w:ascii="仿宋_GB2312" w:eastAsia="仿宋_GB2312"/>
          <w:color w:val="000000"/>
          <w:sz w:val="32"/>
          <w:szCs w:val="32"/>
        </w:rPr>
      </w:pPr>
      <w:r>
        <w:rPr>
          <w:rFonts w:hint="eastAsia" w:ascii="黑体" w:eastAsia="黑体" w:cs="仿宋_GB2312"/>
          <w:bCs/>
          <w:color w:val="000000"/>
          <w:sz w:val="32"/>
          <w:szCs w:val="32"/>
        </w:rPr>
        <w:t>人员经费170.1万元</w:t>
      </w:r>
      <w:r>
        <w:rPr>
          <w:rFonts w:hint="eastAsia" w:ascii="仿宋_GB2312" w:eastAsia="仿宋_GB2312"/>
          <w:color w:val="000000"/>
          <w:sz w:val="32"/>
          <w:szCs w:val="32"/>
        </w:rPr>
        <w:t>，主要包括（单位支出涉及的款级科目）基本工资48.41万元，津贴补贴30.67万元，奖金69.86万元，社保费用21.16万元。</w:t>
      </w:r>
    </w:p>
    <w:p>
      <w:pPr>
        <w:pStyle w:val="8"/>
        <w:spacing w:line="560" w:lineRule="exact"/>
        <w:ind w:firstLine="640" w:firstLineChars="200"/>
        <w:rPr>
          <w:rFonts w:ascii="仿宋_GB2312" w:eastAsia="仿宋_GB2312" w:cs="仿宋_GB2312"/>
          <w:bCs/>
          <w:color w:val="000000"/>
          <w:sz w:val="32"/>
          <w:szCs w:val="32"/>
        </w:rPr>
      </w:pPr>
      <w:r>
        <w:rPr>
          <w:rFonts w:hint="eastAsia" w:ascii="黑体" w:eastAsia="黑体" w:cs="仿宋_GB2312"/>
          <w:bCs/>
          <w:color w:val="000000"/>
          <w:sz w:val="32"/>
          <w:szCs w:val="32"/>
        </w:rPr>
        <w:t>公用经费121.26万元，</w:t>
      </w:r>
      <w:r>
        <w:rPr>
          <w:rFonts w:hint="eastAsia" w:ascii="仿宋_GB2312" w:eastAsia="仿宋_GB2312" w:cs="仿宋_GB2312"/>
          <w:bCs/>
          <w:color w:val="000000"/>
          <w:sz w:val="32"/>
          <w:szCs w:val="32"/>
        </w:rPr>
        <w:t>主要包括办公费</w:t>
      </w:r>
      <w:r>
        <w:rPr>
          <w:rFonts w:hint="eastAsia" w:ascii="仿宋_GB2312" w:eastAsia="仿宋_GB2312"/>
          <w:color w:val="000000"/>
          <w:sz w:val="32"/>
          <w:szCs w:val="32"/>
        </w:rPr>
        <w:t>19.48</w:t>
      </w:r>
      <w:r>
        <w:rPr>
          <w:rFonts w:hint="eastAsia" w:ascii="仿宋_GB2312" w:eastAsia="仿宋_GB2312" w:cs="仿宋_GB2312"/>
          <w:bCs/>
          <w:color w:val="000000"/>
          <w:sz w:val="32"/>
          <w:szCs w:val="32"/>
        </w:rPr>
        <w:t>万元，手续费水电费0.7万元，差旅费0.9万元，租赁费10万元，委托业务费84.49万元，工会经费3.8万元，其他交通费用1.98万元。</w:t>
      </w:r>
    </w:p>
    <w:p>
      <w:pPr>
        <w:pStyle w:val="8"/>
        <w:spacing w:line="560" w:lineRule="exact"/>
        <w:ind w:firstLine="640" w:firstLineChars="200"/>
        <w:rPr>
          <w:rFonts w:ascii="黑体" w:eastAsia="黑体" w:cs="仿宋_GB2312"/>
          <w:bCs/>
          <w:color w:val="000000"/>
          <w:sz w:val="32"/>
          <w:szCs w:val="32"/>
        </w:rPr>
      </w:pPr>
      <w:r>
        <w:rPr>
          <w:rFonts w:hint="eastAsia" w:ascii="黑体" w:eastAsia="黑体" w:cs="仿宋_GB2312"/>
          <w:bCs/>
          <w:color w:val="000000"/>
          <w:sz w:val="32"/>
          <w:szCs w:val="32"/>
        </w:rPr>
        <w:t xml:space="preserve">七、一般公共预算财政拨款“三公”经费及会议费、培训费支出决算情况说明 </w:t>
      </w:r>
    </w:p>
    <w:p>
      <w:pPr>
        <w:ind w:firstLine="640" w:firstLineChars="200"/>
        <w:rPr>
          <w:rFonts w:ascii="黑体" w:eastAsia="黑体" w:cs="仿宋_GB2312"/>
          <w:bCs/>
          <w:color w:val="000000"/>
          <w:sz w:val="32"/>
          <w:szCs w:val="32"/>
        </w:rPr>
      </w:pPr>
      <w:r>
        <w:rPr>
          <w:rFonts w:hint="eastAsia" w:ascii="黑体" w:eastAsia="黑体" w:cs="仿宋_GB2312"/>
          <w:bCs/>
          <w:color w:val="000000"/>
          <w:sz w:val="32"/>
          <w:szCs w:val="32"/>
        </w:rPr>
        <w:t>（一）“三公”经费财政拨款支出决算总体情况说明。</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2019年“三公”经费财政拨款支出预算为2.5万元，支出决算为1.19万元，完成预算的47.6%。决算数较预算数减少1.31万元，主要原因是节约开支。</w:t>
      </w:r>
    </w:p>
    <w:p>
      <w:pPr>
        <w:spacing w:line="360" w:lineRule="auto"/>
        <w:ind w:firstLine="640" w:firstLineChars="200"/>
        <w:rPr>
          <w:rFonts w:ascii="黑体" w:eastAsia="黑体" w:cs="仿宋_GB2312"/>
          <w:bCs/>
          <w:color w:val="000000"/>
          <w:sz w:val="32"/>
          <w:szCs w:val="32"/>
        </w:rPr>
      </w:pPr>
      <w:r>
        <w:rPr>
          <w:rFonts w:hint="eastAsia" w:ascii="黑体" w:eastAsia="黑体" w:cs="仿宋_GB2312"/>
          <w:bCs/>
          <w:color w:val="000000"/>
          <w:sz w:val="32"/>
          <w:szCs w:val="32"/>
        </w:rPr>
        <w:t>（二）“三公”经费财政拨款支出决算具体情况说明。</w:t>
      </w:r>
    </w:p>
    <w:p>
      <w:pPr>
        <w:spacing w:line="360" w:lineRule="auto"/>
        <w:ind w:firstLine="640" w:firstLineChars="200"/>
        <w:rPr>
          <w:rFonts w:ascii="仿宋_GB2312" w:eastAsia="仿宋_GB2312" w:cs="仿宋_GB2312"/>
          <w:bCs/>
          <w:color w:val="000000"/>
          <w:sz w:val="32"/>
          <w:szCs w:val="32"/>
        </w:rPr>
      </w:pPr>
      <w:r>
        <w:rPr>
          <w:rFonts w:ascii="仿宋_GB2312" w:eastAsia="仿宋_GB2312" w:cs="仿宋_GB2312"/>
          <w:bCs/>
          <w:color w:val="000000"/>
          <w:sz w:val="32"/>
          <w:szCs w:val="32"/>
        </w:rPr>
        <w:drawing>
          <wp:inline distT="0" distB="0" distL="0" distR="0">
            <wp:extent cx="4810125" cy="2105025"/>
            <wp:effectExtent l="0" t="0" r="0" b="0"/>
            <wp:docPr id="1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Style w:val="8"/>
        <w:shd w:val="clear" w:color="auto" w:fill="FFFFFF"/>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2019年“三公”经费财政拨款支出决算中，无公出国（境）费支出；无公务用车购置费；公务用车运行维护费支出决算1.19万元，占47.6%；无公务接待费支出。具体情况如下：</w:t>
      </w:r>
    </w:p>
    <w:p>
      <w:pPr>
        <w:pStyle w:val="8"/>
        <w:shd w:val="clear" w:color="auto" w:fill="FFFFFF"/>
        <w:spacing w:line="560" w:lineRule="exact"/>
        <w:ind w:firstLine="640" w:firstLineChars="200"/>
        <w:rPr>
          <w:rFonts w:ascii="仿宋_GB2312" w:eastAsia="仿宋_GB2312"/>
          <w:b/>
          <w:bCs/>
          <w:color w:val="000000"/>
          <w:sz w:val="32"/>
          <w:szCs w:val="32"/>
        </w:rPr>
      </w:pPr>
      <w:r>
        <w:rPr>
          <w:rFonts w:hint="eastAsia" w:ascii="仿宋_GB2312" w:eastAsia="仿宋_GB2312"/>
          <w:color w:val="000000"/>
          <w:sz w:val="32"/>
          <w:szCs w:val="32"/>
        </w:rPr>
        <w:t>1、</w:t>
      </w:r>
      <w:r>
        <w:rPr>
          <w:rFonts w:hint="eastAsia" w:ascii="仿宋_GB2312" w:eastAsia="仿宋_GB2312"/>
          <w:b/>
          <w:bCs/>
          <w:color w:val="000000"/>
          <w:sz w:val="32"/>
          <w:szCs w:val="32"/>
        </w:rPr>
        <w:t>因公出国（境）支出情况说明</w:t>
      </w:r>
    </w:p>
    <w:p>
      <w:pPr>
        <w:pStyle w:val="8"/>
        <w:shd w:val="clear" w:color="auto" w:fill="FFFFFF"/>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2019年因公出国（境）团组0个，0人次，预算为0万元，支出决算为0万元0。决算数较去年减少（增加）0万元，主要原因节约开支</w:t>
      </w:r>
    </w:p>
    <w:p>
      <w:pPr>
        <w:pStyle w:val="8"/>
        <w:spacing w:line="560" w:lineRule="exact"/>
        <w:ind w:firstLine="640" w:firstLineChars="200"/>
        <w:rPr>
          <w:rFonts w:ascii="仿宋_GB2312" w:eastAsia="仿宋_GB2312"/>
          <w:b/>
          <w:bCs/>
          <w:color w:val="000000"/>
          <w:sz w:val="32"/>
          <w:szCs w:val="32"/>
        </w:rPr>
      </w:pPr>
      <w:r>
        <w:rPr>
          <w:rFonts w:hint="eastAsia" w:ascii="仿宋_GB2312" w:eastAsia="仿宋_GB2312"/>
          <w:color w:val="000000"/>
          <w:sz w:val="32"/>
          <w:szCs w:val="32"/>
        </w:rPr>
        <w:t>2、</w:t>
      </w:r>
      <w:r>
        <w:rPr>
          <w:rFonts w:hint="eastAsia" w:ascii="仿宋_GB2312" w:eastAsia="仿宋_GB2312"/>
          <w:b/>
          <w:bCs/>
          <w:color w:val="000000"/>
          <w:sz w:val="32"/>
          <w:szCs w:val="32"/>
        </w:rPr>
        <w:t>公务用车购置费用支出情况说明。</w:t>
      </w:r>
    </w:p>
    <w:p>
      <w:pPr>
        <w:pStyle w:val="8"/>
        <w:shd w:val="clear" w:color="auto" w:fill="FFFFFF"/>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2019年购置车辆0台。预算为0万元，支出决算为0万元，决算数较预算数增加0万元，主要原因是节约开支。</w:t>
      </w:r>
    </w:p>
    <w:p>
      <w:pPr>
        <w:pStyle w:val="8"/>
        <w:shd w:val="clear" w:color="auto" w:fill="FFFFFF"/>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决算数较去年增加0万元，主要原因是节约开支</w:t>
      </w:r>
    </w:p>
    <w:p>
      <w:pPr>
        <w:pStyle w:val="8"/>
        <w:shd w:val="clear" w:color="auto" w:fill="FFFFFF"/>
        <w:spacing w:line="560" w:lineRule="exact"/>
        <w:ind w:firstLine="643" w:firstLineChars="200"/>
        <w:rPr>
          <w:rFonts w:ascii="仿宋_GB2312" w:eastAsia="仿宋_GB2312"/>
          <w:b/>
          <w:bCs/>
          <w:color w:val="000000"/>
          <w:sz w:val="32"/>
          <w:szCs w:val="32"/>
        </w:rPr>
      </w:pPr>
      <w:r>
        <w:rPr>
          <w:rFonts w:hint="eastAsia" w:ascii="仿宋_GB2312" w:eastAsia="仿宋_GB2312"/>
          <w:b/>
          <w:bCs/>
          <w:color w:val="000000"/>
          <w:sz w:val="32"/>
          <w:szCs w:val="32"/>
        </w:rPr>
        <w:t>3、公务用车运行维护费用支出情况说明。</w:t>
      </w:r>
    </w:p>
    <w:p>
      <w:pPr>
        <w:pStyle w:val="8"/>
        <w:shd w:val="clear" w:color="auto" w:fill="FFFFFF"/>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2019年公务用车运行维护费预算为2.5万元，支出决算为1.19万元，完成预算的47.6%，决算数较预算数减少1.31万元，主要原因是节约开支。</w:t>
      </w:r>
    </w:p>
    <w:p>
      <w:pPr>
        <w:pStyle w:val="8"/>
        <w:shd w:val="clear" w:color="auto" w:fill="FFFFFF"/>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决算数较去年减少0.09万元，下降0.8%，主要原因是厉行节约减少支出。</w:t>
      </w:r>
    </w:p>
    <w:p>
      <w:pPr>
        <w:pStyle w:val="8"/>
        <w:shd w:val="clear" w:color="auto" w:fill="FFFFFF"/>
        <w:spacing w:line="560" w:lineRule="exact"/>
        <w:ind w:firstLine="640" w:firstLineChars="200"/>
        <w:rPr>
          <w:rFonts w:ascii="仿宋_GB2312" w:eastAsia="仿宋_GB2312"/>
          <w:b/>
          <w:bCs/>
          <w:color w:val="000000"/>
          <w:sz w:val="32"/>
          <w:szCs w:val="32"/>
        </w:rPr>
      </w:pPr>
      <w:r>
        <w:rPr>
          <w:rFonts w:hint="eastAsia" w:ascii="仿宋_GB2312" w:eastAsia="仿宋_GB2312"/>
          <w:color w:val="000000"/>
          <w:sz w:val="32"/>
          <w:szCs w:val="32"/>
        </w:rPr>
        <w:t>4、</w:t>
      </w:r>
      <w:r>
        <w:rPr>
          <w:rFonts w:hint="eastAsia" w:ascii="仿宋_GB2312" w:eastAsia="仿宋_GB2312"/>
          <w:b/>
          <w:bCs/>
          <w:color w:val="000000"/>
          <w:sz w:val="32"/>
          <w:szCs w:val="32"/>
        </w:rPr>
        <w:t>公务接待费支出情况说明。</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2019年公务接待0批次，0人次，预算为0万元，支出决算为0万元，决算数较预算数减少（增加）0万元，主要原因是节约开支。</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决算数较去年减少（增加）0万元，主要原因是节约开支。</w:t>
      </w:r>
    </w:p>
    <w:p>
      <w:pPr>
        <w:pStyle w:val="8"/>
        <w:shd w:val="clear" w:color="auto" w:fill="FFFFFF"/>
        <w:spacing w:line="560" w:lineRule="exact"/>
        <w:ind w:firstLine="600"/>
        <w:rPr>
          <w:rFonts w:ascii="黑体" w:eastAsia="黑体" w:cs="仿宋_GB2312"/>
          <w:bCs/>
          <w:color w:val="000000"/>
          <w:sz w:val="32"/>
          <w:szCs w:val="32"/>
        </w:rPr>
      </w:pPr>
      <w:r>
        <w:rPr>
          <w:rFonts w:hint="eastAsia" w:ascii="黑体" w:eastAsia="黑体" w:cs="仿宋_GB2312"/>
          <w:bCs/>
          <w:color w:val="000000"/>
          <w:sz w:val="32"/>
          <w:szCs w:val="32"/>
        </w:rPr>
        <w:t>（三）培训费支出情况说明。</w:t>
      </w:r>
    </w:p>
    <w:p>
      <w:pPr>
        <w:pStyle w:val="8"/>
        <w:shd w:val="clear" w:color="auto" w:fill="FFFFFF"/>
        <w:spacing w:line="560" w:lineRule="exact"/>
        <w:ind w:firstLine="600"/>
        <w:rPr>
          <w:rFonts w:ascii="仿宋_GB2312" w:eastAsia="仿宋_GB2312" w:cs="仿宋_GB2312"/>
          <w:bCs/>
          <w:color w:val="000000"/>
          <w:sz w:val="32"/>
          <w:szCs w:val="32"/>
        </w:rPr>
      </w:pPr>
      <w:r>
        <w:rPr>
          <w:rFonts w:hint="eastAsia" w:ascii="仿宋_GB2312" w:eastAsia="仿宋_GB2312" w:cs="仿宋_GB2312"/>
          <w:bCs/>
          <w:color w:val="000000"/>
          <w:sz w:val="32"/>
          <w:szCs w:val="32"/>
        </w:rPr>
        <w:t>2019年培训费主要包括安全生产培训。预算为</w:t>
      </w:r>
      <w:r>
        <w:rPr>
          <w:rFonts w:hint="eastAsia" w:ascii="仿宋_GB2312" w:eastAsia="仿宋_GB2312"/>
          <w:color w:val="000000"/>
          <w:sz w:val="32"/>
          <w:szCs w:val="32"/>
        </w:rPr>
        <w:t>0.66</w:t>
      </w:r>
      <w:r>
        <w:rPr>
          <w:rFonts w:hint="eastAsia" w:ascii="仿宋_GB2312" w:eastAsia="仿宋_GB2312" w:cs="仿宋_GB2312"/>
          <w:bCs/>
          <w:color w:val="000000"/>
          <w:sz w:val="32"/>
          <w:szCs w:val="32"/>
        </w:rPr>
        <w:t>万元，支出决算为</w:t>
      </w:r>
      <w:r>
        <w:rPr>
          <w:rFonts w:hint="eastAsia" w:ascii="仿宋_GB2312" w:eastAsia="仿宋_GB2312"/>
          <w:color w:val="000000"/>
          <w:sz w:val="32"/>
          <w:szCs w:val="32"/>
        </w:rPr>
        <w:t>0.66</w:t>
      </w:r>
      <w:r>
        <w:rPr>
          <w:rFonts w:hint="eastAsia" w:ascii="仿宋_GB2312" w:eastAsia="仿宋_GB2312" w:cs="仿宋_GB2312"/>
          <w:bCs/>
          <w:color w:val="000000"/>
          <w:sz w:val="32"/>
          <w:szCs w:val="32"/>
        </w:rPr>
        <w:t>万元。完成预算的</w:t>
      </w:r>
      <w:r>
        <w:rPr>
          <w:rFonts w:hint="eastAsia" w:ascii="仿宋_GB2312" w:eastAsia="仿宋_GB2312"/>
          <w:color w:val="000000"/>
          <w:sz w:val="32"/>
          <w:szCs w:val="32"/>
        </w:rPr>
        <w:t>100</w:t>
      </w:r>
      <w:r>
        <w:rPr>
          <w:rFonts w:hint="eastAsia" w:ascii="仿宋_GB2312" w:eastAsia="仿宋_GB2312" w:cs="仿宋_GB2312"/>
          <w:bCs/>
          <w:color w:val="000000"/>
          <w:sz w:val="32"/>
          <w:szCs w:val="32"/>
        </w:rPr>
        <w:t>%，主要原因是增加了安全生产培训次数。</w:t>
      </w:r>
    </w:p>
    <w:p>
      <w:pPr>
        <w:pStyle w:val="8"/>
        <w:shd w:val="clear" w:color="auto" w:fill="FFFFFF"/>
        <w:spacing w:line="560" w:lineRule="exact"/>
        <w:ind w:firstLine="600"/>
        <w:rPr>
          <w:rFonts w:ascii="仿宋_GB2312" w:eastAsia="仿宋_GB2312" w:cs="仿宋_GB2312"/>
          <w:bCs/>
          <w:color w:val="000000"/>
          <w:sz w:val="32"/>
          <w:szCs w:val="32"/>
        </w:rPr>
      </w:pPr>
      <w:r>
        <w:rPr>
          <w:rFonts w:hint="eastAsia" w:ascii="仿宋_GB2312" w:eastAsia="仿宋_GB2312" w:cs="仿宋_GB2312"/>
          <w:bCs/>
          <w:color w:val="000000"/>
          <w:sz w:val="32"/>
          <w:szCs w:val="32"/>
        </w:rPr>
        <w:t>决算数较去年增加0.66万元，增加100%，主要原因是为进一步提高安全生产防范意识计划开展培训活动。</w:t>
      </w:r>
    </w:p>
    <w:p>
      <w:pPr>
        <w:pStyle w:val="8"/>
        <w:spacing w:line="560" w:lineRule="exact"/>
        <w:ind w:firstLine="640" w:firstLineChars="200"/>
        <w:rPr>
          <w:rFonts w:ascii="黑体" w:eastAsia="黑体" w:cs="仿宋_GB2312"/>
          <w:bCs/>
          <w:color w:val="000000"/>
          <w:sz w:val="32"/>
          <w:szCs w:val="32"/>
        </w:rPr>
      </w:pPr>
      <w:r>
        <w:rPr>
          <w:rFonts w:hint="eastAsia" w:ascii="黑体" w:eastAsia="黑体" w:cs="仿宋_GB2312"/>
          <w:bCs/>
          <w:color w:val="000000"/>
          <w:sz w:val="32"/>
          <w:szCs w:val="32"/>
        </w:rPr>
        <w:t>（四）会议费支出情况说明。</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2019年会议费主要包括参加旅游服务等。预算为</w:t>
      </w:r>
      <w:r>
        <w:rPr>
          <w:rFonts w:hint="eastAsia" w:ascii="仿宋_GB2312" w:eastAsia="仿宋_GB2312" w:cs="仿宋_GB2312"/>
          <w:bCs/>
          <w:color w:val="000000"/>
          <w:sz w:val="32"/>
          <w:szCs w:val="32"/>
        </w:rPr>
        <w:t>0</w:t>
      </w:r>
      <w:r>
        <w:rPr>
          <w:rFonts w:hint="eastAsia" w:ascii="仿宋_GB2312" w:eastAsia="仿宋_GB2312"/>
          <w:color w:val="000000"/>
          <w:sz w:val="32"/>
          <w:szCs w:val="32"/>
        </w:rPr>
        <w:t>万元，支出决算为</w:t>
      </w:r>
      <w:r>
        <w:rPr>
          <w:rFonts w:hint="eastAsia" w:ascii="仿宋_GB2312" w:eastAsia="仿宋_GB2312" w:cs="仿宋_GB2312"/>
          <w:bCs/>
          <w:color w:val="000000"/>
          <w:sz w:val="32"/>
          <w:szCs w:val="32"/>
        </w:rPr>
        <w:t>0</w:t>
      </w:r>
      <w:r>
        <w:rPr>
          <w:rFonts w:hint="eastAsia" w:ascii="仿宋_GB2312" w:eastAsia="仿宋_GB2312"/>
          <w:color w:val="000000"/>
          <w:sz w:val="32"/>
          <w:szCs w:val="32"/>
        </w:rPr>
        <w:t>万元，决算数较预算数减少（增加）</w:t>
      </w:r>
      <w:r>
        <w:rPr>
          <w:rFonts w:hint="eastAsia" w:ascii="仿宋_GB2312" w:eastAsia="仿宋_GB2312" w:cs="仿宋_GB2312"/>
          <w:bCs/>
          <w:color w:val="000000"/>
          <w:sz w:val="32"/>
          <w:szCs w:val="32"/>
        </w:rPr>
        <w:t>0</w:t>
      </w:r>
      <w:r>
        <w:rPr>
          <w:rFonts w:hint="eastAsia" w:ascii="仿宋_GB2312" w:eastAsia="仿宋_GB2312"/>
          <w:color w:val="000000"/>
          <w:sz w:val="32"/>
          <w:szCs w:val="32"/>
        </w:rPr>
        <w:t>万元，主要原因是无会议费方面支出安排。</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决算数较去年减少（增加）0万元，主要原因是无会议费方面支出安排。</w:t>
      </w:r>
    </w:p>
    <w:p>
      <w:pPr>
        <w:pStyle w:val="8"/>
        <w:spacing w:line="560" w:lineRule="exact"/>
        <w:ind w:firstLine="640" w:firstLineChars="200"/>
        <w:rPr>
          <w:rFonts w:ascii="黑体" w:eastAsia="黑体" w:cs="仿宋_GB2312"/>
          <w:bCs/>
          <w:color w:val="000000"/>
          <w:sz w:val="32"/>
          <w:szCs w:val="32"/>
        </w:rPr>
      </w:pPr>
      <w:r>
        <w:rPr>
          <w:rFonts w:hint="eastAsia" w:ascii="黑体" w:eastAsia="黑体" w:cs="仿宋_GB2312"/>
          <w:bCs/>
          <w:color w:val="000000"/>
          <w:sz w:val="32"/>
          <w:szCs w:val="32"/>
        </w:rPr>
        <w:t xml:space="preserve">八、政府性基金预算财政拨款收入支出情况说明 </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2019年度政府性基金财政拨款收入29万元，支出29万元，结转结余0万元，主要用于旅游设施配套建设，决算数较去年增加29万元，主要原因是政府性基金拨款增加。</w:t>
      </w:r>
    </w:p>
    <w:p>
      <w:pPr>
        <w:pStyle w:val="8"/>
        <w:spacing w:line="560" w:lineRule="exact"/>
        <w:ind w:firstLine="640" w:firstLineChars="200"/>
        <w:rPr>
          <w:rFonts w:ascii="黑体" w:eastAsia="黑体" w:cs="仿宋_GB2312"/>
          <w:bCs/>
          <w:color w:val="000000"/>
          <w:sz w:val="32"/>
          <w:szCs w:val="32"/>
        </w:rPr>
      </w:pPr>
      <w:r>
        <w:rPr>
          <w:rFonts w:hint="eastAsia" w:ascii="黑体" w:eastAsia="黑体" w:cs="仿宋_GB2312"/>
          <w:bCs/>
          <w:color w:val="000000"/>
          <w:sz w:val="32"/>
          <w:szCs w:val="32"/>
        </w:rPr>
        <w:t>九、国有资本经营财政拨款收入支出情况说明</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本部门无国有资本经营决算拨款收支</w:t>
      </w:r>
    </w:p>
    <w:p>
      <w:pPr>
        <w:pStyle w:val="8"/>
        <w:spacing w:line="560" w:lineRule="exact"/>
        <w:ind w:firstLine="640" w:firstLineChars="200"/>
        <w:rPr>
          <w:rFonts w:ascii="黑体" w:eastAsia="黑体" w:cs="仿宋_GB2312"/>
          <w:bCs/>
          <w:color w:val="000000"/>
          <w:sz w:val="32"/>
          <w:szCs w:val="32"/>
        </w:rPr>
      </w:pPr>
      <w:r>
        <w:rPr>
          <w:rFonts w:hint="eastAsia" w:ascii="黑体" w:eastAsia="黑体" w:cs="仿宋_GB2312"/>
          <w:bCs/>
          <w:color w:val="000000"/>
          <w:sz w:val="32"/>
          <w:szCs w:val="32"/>
        </w:rPr>
        <w:t>十、预算绩效情况说明</w:t>
      </w:r>
    </w:p>
    <w:p>
      <w:pPr>
        <w:pStyle w:val="8"/>
        <w:numPr>
          <w:ilvl w:val="0"/>
          <w:numId w:val="1"/>
        </w:numPr>
        <w:spacing w:line="560" w:lineRule="exact"/>
        <w:rPr>
          <w:rFonts w:ascii="仿宋_GB2312" w:eastAsia="仿宋_GB2312"/>
          <w:b/>
          <w:bCs/>
          <w:sz w:val="32"/>
          <w:szCs w:val="32"/>
        </w:rPr>
      </w:pPr>
      <w:r>
        <w:rPr>
          <w:rFonts w:hint="eastAsia" w:ascii="仿宋_GB2312" w:eastAsia="仿宋_GB2312"/>
          <w:b/>
          <w:bCs/>
          <w:sz w:val="32"/>
          <w:szCs w:val="32"/>
        </w:rPr>
        <w:t>本部门2019年度预算绩效管理工作开展情况说明。</w:t>
      </w:r>
    </w:p>
    <w:p>
      <w:pPr>
        <w:spacing w:line="550" w:lineRule="exact"/>
        <w:ind w:firstLine="640" w:firstLineChars="200"/>
        <w:rPr>
          <w:rFonts w:ascii="仿宋_GB2312" w:eastAsia="仿宋_GB2312"/>
          <w:sz w:val="32"/>
          <w:szCs w:val="32"/>
        </w:rPr>
      </w:pPr>
      <w:r>
        <w:rPr>
          <w:rFonts w:hint="eastAsia" w:ascii="仿宋_GB2312" w:eastAsia="仿宋_GB2312"/>
          <w:sz w:val="32"/>
          <w:szCs w:val="32"/>
        </w:rPr>
        <w:t>根据预算绩效管理要求，本部门组织对2019年度一般公共预算项目支出全面开展绩效自评，其中，一级项目0个，二级项目0个，共涉及资金0万元，占一般公共预算项目支出总额的0%。组织对 2019年0个政府性基金预算项目支出开展绩效自评，共涉及资金0万元，占政府性基金预算项目支出总额的0%。</w:t>
      </w:r>
    </w:p>
    <w:p>
      <w:pPr>
        <w:spacing w:line="550" w:lineRule="exact"/>
        <w:ind w:firstLine="643" w:firstLineChars="200"/>
        <w:rPr>
          <w:rFonts w:ascii="仿宋_GB2312" w:eastAsia="仿宋_GB2312"/>
          <w:b/>
          <w:bCs/>
          <w:sz w:val="32"/>
          <w:szCs w:val="32"/>
        </w:rPr>
      </w:pPr>
      <w:r>
        <w:rPr>
          <w:rFonts w:hint="eastAsia" w:ascii="仿宋_GB2312" w:eastAsia="仿宋_GB2312"/>
          <w:b/>
          <w:bCs/>
          <w:sz w:val="32"/>
          <w:szCs w:val="32"/>
        </w:rPr>
        <w:t>（二）部门决算中项目绩效自评结果。</w:t>
      </w:r>
    </w:p>
    <w:p>
      <w:pPr>
        <w:spacing w:line="560" w:lineRule="exact"/>
        <w:ind w:firstLine="640" w:firstLineChars="200"/>
        <w:rPr>
          <w:rFonts w:ascii="微软雅黑" w:cs="微软雅黑"/>
          <w:color w:val="2B2B2B"/>
          <w:sz w:val="24"/>
        </w:rPr>
      </w:pPr>
      <w:r>
        <w:rPr>
          <w:rFonts w:hint="eastAsia" w:ascii="仿宋_GB2312" w:eastAsia="仿宋_GB2312"/>
          <w:sz w:val="32"/>
          <w:szCs w:val="32"/>
        </w:rPr>
        <w:t>根据预算绩效管理要求，本部门</w:t>
      </w:r>
      <w:r>
        <w:rPr>
          <w:rFonts w:hint="eastAsia" w:ascii="仿宋_GB2312" w:eastAsia="仿宋_GB2312" w:cs="宋体"/>
          <w:sz w:val="32"/>
          <w:szCs w:val="32"/>
        </w:rPr>
        <w:t>无重点项目的预算绩效,不涉及预算绩效项目的收入支出。</w:t>
      </w:r>
    </w:p>
    <w:p>
      <w:pPr>
        <w:spacing w:line="550" w:lineRule="exact"/>
        <w:ind w:firstLine="640" w:firstLineChars="200"/>
        <w:rPr>
          <w:rFonts w:hint="eastAsia" w:ascii="仿宋_GB2312" w:eastAsia="仿宋_GB2312"/>
          <w:bCs/>
          <w:sz w:val="32"/>
          <w:szCs w:val="32"/>
        </w:rPr>
      </w:pPr>
      <w:r>
        <w:rPr>
          <w:rFonts w:hint="eastAsia" w:ascii="仿宋_GB2312" w:eastAsia="仿宋_GB2312"/>
          <w:sz w:val="32"/>
          <w:szCs w:val="32"/>
        </w:rPr>
        <w:t>0</w:t>
      </w:r>
      <w:r>
        <w:rPr>
          <w:rFonts w:hint="eastAsia" w:ascii="仿宋_GB2312" w:eastAsia="仿宋_GB2312"/>
          <w:bCs/>
          <w:sz w:val="32"/>
          <w:szCs w:val="32"/>
        </w:rPr>
        <w:t>项目绩效自评综述：根据年初设定的绩效目标，项目自评得分</w:t>
      </w:r>
      <w:r>
        <w:rPr>
          <w:rFonts w:hint="eastAsia" w:ascii="仿宋_GB2312" w:eastAsia="仿宋_GB2312"/>
          <w:sz w:val="32"/>
          <w:szCs w:val="32"/>
        </w:rPr>
        <w:t>0</w:t>
      </w:r>
      <w:r>
        <w:rPr>
          <w:rFonts w:hint="eastAsia" w:ascii="仿宋_GB2312" w:eastAsia="仿宋_GB2312"/>
          <w:bCs/>
          <w:sz w:val="32"/>
          <w:szCs w:val="32"/>
        </w:rPr>
        <w:t>分。项目全年预算数</w:t>
      </w:r>
      <w:r>
        <w:rPr>
          <w:rFonts w:hint="eastAsia" w:ascii="仿宋_GB2312" w:eastAsia="仿宋_GB2312"/>
          <w:sz w:val="32"/>
          <w:szCs w:val="32"/>
        </w:rPr>
        <w:t>0</w:t>
      </w:r>
      <w:r>
        <w:rPr>
          <w:rFonts w:hint="eastAsia" w:ascii="仿宋_GB2312" w:eastAsia="仿宋_GB2312"/>
          <w:bCs/>
          <w:sz w:val="32"/>
          <w:szCs w:val="32"/>
        </w:rPr>
        <w:t>万元，执行数</w:t>
      </w:r>
      <w:r>
        <w:rPr>
          <w:rFonts w:hint="eastAsia" w:ascii="仿宋_GB2312" w:eastAsia="仿宋_GB2312"/>
          <w:sz w:val="32"/>
          <w:szCs w:val="32"/>
        </w:rPr>
        <w:t>0</w:t>
      </w:r>
      <w:r>
        <w:rPr>
          <w:rFonts w:hint="eastAsia" w:ascii="仿宋_GB2312" w:eastAsia="仿宋_GB2312"/>
          <w:bCs/>
          <w:sz w:val="32"/>
          <w:szCs w:val="32"/>
        </w:rPr>
        <w:t>万元，完成预算的</w:t>
      </w:r>
      <w:r>
        <w:rPr>
          <w:rFonts w:hint="eastAsia" w:ascii="仿宋_GB2312" w:eastAsia="仿宋_GB2312"/>
          <w:sz w:val="32"/>
          <w:szCs w:val="32"/>
        </w:rPr>
        <w:t>0</w:t>
      </w:r>
      <w:r>
        <w:rPr>
          <w:rFonts w:hint="eastAsia" w:ascii="仿宋_GB2312" w:eastAsia="仿宋_GB2312"/>
          <w:bCs/>
          <w:sz w:val="32"/>
          <w:szCs w:val="32"/>
        </w:rPr>
        <w:t>%。</w:t>
      </w:r>
    </w:p>
    <w:p>
      <w:pPr>
        <w:numPr>
          <w:ilvl w:val="0"/>
          <w:numId w:val="2"/>
        </w:numPr>
        <w:spacing w:line="550" w:lineRule="exact"/>
        <w:ind w:firstLine="643" w:firstLineChars="200"/>
        <w:rPr>
          <w:rFonts w:hint="eastAsia" w:ascii="仿宋_GB2312" w:eastAsia="仿宋_GB2312"/>
          <w:b/>
          <w:bCs/>
          <w:sz w:val="32"/>
          <w:szCs w:val="32"/>
        </w:rPr>
      </w:pPr>
      <w:r>
        <w:rPr>
          <w:rFonts w:hint="eastAsia" w:ascii="仿宋_GB2312" w:eastAsia="仿宋_GB2312"/>
          <w:b/>
          <w:bCs/>
          <w:sz w:val="32"/>
          <w:szCs w:val="32"/>
        </w:rPr>
        <w:t>部门决算中整体支出绩效自评结果。</w:t>
      </w:r>
    </w:p>
    <w:p>
      <w:pPr>
        <w:numPr>
          <w:numId w:val="0"/>
        </w:numPr>
        <w:spacing w:line="550" w:lineRule="exact"/>
        <w:rPr>
          <w:rFonts w:hint="eastAsia" w:ascii="仿宋_GB2312" w:eastAsia="仿宋_GB2312"/>
          <w:b/>
          <w:bCs/>
          <w:sz w:val="32"/>
          <w:szCs w:val="32"/>
        </w:rPr>
        <w:sectPr>
          <w:footerReference r:id="rId6" w:type="first"/>
          <w:footerReference r:id="rId4" w:type="default"/>
          <w:footerReference r:id="rId5" w:type="even"/>
          <w:pgSz w:w="11906" w:h="16838"/>
          <w:pgMar w:top="1304" w:right="1418" w:bottom="1021" w:left="1701" w:header="709" w:footer="709" w:gutter="0"/>
          <w:cols w:space="720" w:num="1"/>
          <w:docGrid w:type="lines" w:linePitch="360" w:charSpace="0"/>
        </w:sectPr>
      </w:pPr>
    </w:p>
    <w:p>
      <w:pPr>
        <w:pStyle w:val="12"/>
        <w:keepNext w:val="0"/>
        <w:keepLines w:val="0"/>
        <w:widowControl w:val="0"/>
        <w:shd w:val="clear" w:color="auto" w:fill="auto"/>
        <w:bidi w:val="0"/>
        <w:spacing w:before="0" w:after="0" w:line="240" w:lineRule="auto"/>
        <w:ind w:left="0" w:leftChars="0" w:right="0" w:firstLine="5040" w:firstLineChars="1400"/>
        <w:jc w:val="both"/>
        <w:rPr>
          <w:sz w:val="36"/>
          <w:szCs w:val="36"/>
        </w:rPr>
      </w:pPr>
      <w:r>
        <w:rPr>
          <w:color w:val="000000"/>
          <w:spacing w:val="0"/>
          <w:w w:val="100"/>
          <w:position w:val="0"/>
          <w:sz w:val="36"/>
          <w:szCs w:val="36"/>
        </w:rPr>
        <w:t>部门整体支出绩效自评表</w:t>
      </w:r>
    </w:p>
    <w:p>
      <w:pPr>
        <w:pStyle w:val="12"/>
        <w:keepNext w:val="0"/>
        <w:keepLines w:val="0"/>
        <w:widowControl w:val="0"/>
        <w:shd w:val="clear" w:color="auto" w:fill="auto"/>
        <w:bidi w:val="0"/>
        <w:spacing w:before="0" w:after="160" w:line="240" w:lineRule="auto"/>
        <w:ind w:left="0" w:right="0" w:firstLine="0"/>
        <w:jc w:val="center"/>
        <w:rPr>
          <w:sz w:val="16"/>
          <w:szCs w:val="16"/>
        </w:rPr>
      </w:pPr>
      <w:r>
        <w:rPr>
          <w:b/>
          <w:bCs/>
          <w:color w:val="000000"/>
          <w:spacing w:val="0"/>
          <w:w w:val="100"/>
          <w:position w:val="0"/>
          <w:sz w:val="18"/>
          <w:szCs w:val="18"/>
        </w:rPr>
        <w:t>（2019</w:t>
      </w:r>
      <w:r>
        <w:rPr>
          <w:color w:val="000000"/>
          <w:spacing w:val="0"/>
          <w:w w:val="100"/>
          <w:position w:val="0"/>
          <w:sz w:val="16"/>
          <w:szCs w:val="16"/>
        </w:rPr>
        <w:t>年度）</w:t>
      </w:r>
    </w:p>
    <w:p>
      <w:pPr>
        <w:pStyle w:val="13"/>
        <w:keepNext w:val="0"/>
        <w:keepLines w:val="0"/>
        <w:widowControl w:val="0"/>
        <w:shd w:val="clear" w:color="auto" w:fill="auto"/>
        <w:tabs>
          <w:tab w:val="left" w:pos="6005"/>
        </w:tabs>
        <w:bidi w:val="0"/>
        <w:spacing w:before="0" w:after="40" w:line="240" w:lineRule="auto"/>
        <w:ind w:left="0" w:right="0" w:firstLine="0"/>
        <w:jc w:val="left"/>
        <w:rPr>
          <w:rFonts w:hint="default" w:eastAsia="宋体"/>
          <w:lang w:val="en-US" w:eastAsia="zh-CN"/>
        </w:rPr>
      </w:pPr>
      <w:r>
        <w:rPr>
          <w:color w:val="000000"/>
          <w:spacing w:val="0"/>
          <w:w w:val="100"/>
          <w:position w:val="0"/>
        </w:rPr>
        <w:t>填报单位：</w:t>
      </w:r>
      <w:r>
        <w:rPr>
          <w:rFonts w:hint="eastAsia"/>
          <w:color w:val="000000"/>
          <w:spacing w:val="0"/>
          <w:w w:val="100"/>
          <w:position w:val="0"/>
          <w:lang w:eastAsia="zh-CN"/>
        </w:rPr>
        <w:t>西安市莲湖区旅游局</w:t>
      </w:r>
      <w:r>
        <w:rPr>
          <w:rFonts w:ascii="Times New Roman" w:hAnsi="Times New Roman" w:eastAsia="Times New Roman" w:cs="Times New Roman"/>
          <w:color w:val="000000"/>
          <w:spacing w:val="0"/>
          <w:w w:val="100"/>
          <w:position w:val="0"/>
        </w:rPr>
        <w:tab/>
      </w:r>
      <w:r>
        <w:rPr>
          <w:color w:val="000000"/>
          <w:spacing w:val="0"/>
          <w:w w:val="100"/>
          <w:position w:val="0"/>
        </w:rPr>
        <w:t>自评得分：</w:t>
      </w:r>
      <w:r>
        <w:rPr>
          <w:rFonts w:hint="eastAsia"/>
          <w:color w:val="000000"/>
          <w:spacing w:val="0"/>
          <w:w w:val="100"/>
          <w:position w:val="0"/>
          <w:lang w:val="en-US" w:eastAsia="zh-CN"/>
        </w:rPr>
        <w:t>95</w:t>
      </w:r>
      <w:bookmarkStart w:id="0" w:name="_GoBack"/>
      <w:bookmarkEnd w:id="0"/>
    </w:p>
    <w:tbl>
      <w:tblPr>
        <w:tblStyle w:val="9"/>
        <w:tblW w:w="0" w:type="auto"/>
        <w:jc w:val="center"/>
        <w:tblLayout w:type="fixed"/>
        <w:tblCellMar>
          <w:top w:w="0" w:type="dxa"/>
          <w:left w:w="10" w:type="dxa"/>
          <w:bottom w:w="0" w:type="dxa"/>
          <w:right w:w="10" w:type="dxa"/>
        </w:tblCellMar>
      </w:tblPr>
      <w:tblGrid>
        <w:gridCol w:w="511"/>
        <w:gridCol w:w="626"/>
        <w:gridCol w:w="504"/>
        <w:gridCol w:w="324"/>
        <w:gridCol w:w="3290"/>
        <w:gridCol w:w="2650"/>
        <w:gridCol w:w="1066"/>
        <w:gridCol w:w="720"/>
        <w:gridCol w:w="713"/>
        <w:gridCol w:w="576"/>
        <w:gridCol w:w="1562"/>
        <w:gridCol w:w="1418"/>
      </w:tblGrid>
      <w:tr>
        <w:tblPrEx>
          <w:tblCellMar>
            <w:top w:w="0" w:type="dxa"/>
            <w:left w:w="10" w:type="dxa"/>
            <w:bottom w:w="0" w:type="dxa"/>
            <w:right w:w="10" w:type="dxa"/>
          </w:tblCellMar>
        </w:tblPrEx>
        <w:trPr>
          <w:trHeight w:val="3433" w:hRule="exact"/>
          <w:jc w:val="center"/>
        </w:trPr>
        <w:tc>
          <w:tcPr>
            <w:gridSpan w:val="5"/>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（一）简要概述部门职能与职责.</w:t>
            </w:r>
          </w:p>
        </w:tc>
        <w:tc>
          <w:tcPr>
            <w:gridSpan w:val="7"/>
            <w:tcBorders>
              <w:top w:val="single" w:color="auto" w:sz="4" w:space="0"/>
              <w:left w:val="single" w:color="auto" w:sz="4" w:space="0"/>
              <w:right w:val="single" w:color="auto" w:sz="4" w:space="0"/>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rPr>
            </w:pPr>
            <w:r>
              <w:rPr>
                <w:rFonts w:hint="eastAsia" w:ascii="宋体" w:hAnsi="宋体" w:eastAsia="宋体" w:cs="宋体"/>
                <w:sz w:val="16"/>
                <w:szCs w:val="16"/>
              </w:rPr>
              <w:t>1、贯彻执行国家、省、市文化、旅游、文物、广播电视和体育工作的法律规范和方针政策；拟定全区文化、旅游、文物、广播电视和体育规范性文件，并组织实施。</w:t>
            </w:r>
          </w:p>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rPr>
            </w:pPr>
            <w:r>
              <w:rPr>
                <w:rFonts w:hint="eastAsia" w:ascii="宋体" w:hAnsi="宋体" w:eastAsia="宋体" w:cs="宋体"/>
                <w:sz w:val="16"/>
                <w:szCs w:val="16"/>
              </w:rPr>
              <w:t>2、统筹规划全是文化事业、文化产业、广播电视事业、旅游业、文物保护事业的发展，拟定发展规划并组织实施；推进文化、旅游、体育和博物馆融合发展；推进文化、旅游、文物、广播电视和体育领域的体制机制改革。</w:t>
            </w:r>
          </w:p>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rPr>
            </w:pPr>
            <w:r>
              <w:rPr>
                <w:rFonts w:hint="eastAsia" w:ascii="宋体" w:hAnsi="宋体" w:eastAsia="宋体" w:cs="宋体"/>
                <w:sz w:val="16"/>
                <w:szCs w:val="16"/>
              </w:rPr>
              <w:t>3、知道推进全区文化、旅游和文物科技创新发展，推进文化、旅游和文物行业信息化、标准化建设。</w:t>
            </w:r>
          </w:p>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rPr>
            </w:pPr>
            <w:r>
              <w:rPr>
                <w:rFonts w:hint="eastAsia" w:ascii="宋体" w:hAnsi="宋体" w:eastAsia="宋体" w:cs="宋体"/>
                <w:sz w:val="16"/>
                <w:szCs w:val="16"/>
              </w:rPr>
              <w:t>4、负责全区公共文化事业发展，推进公共文化服务体系建设，统筹推进公共文化服务标准化、均等化、深入推进文化惠民工程，管理全区性重大文化活动，对文化市场进行行业监管。</w:t>
            </w:r>
          </w:p>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rPr>
            </w:pPr>
            <w:r>
              <w:rPr>
                <w:rFonts w:hint="eastAsia" w:ascii="宋体" w:hAnsi="宋体" w:eastAsia="宋体" w:cs="宋体"/>
                <w:sz w:val="16"/>
                <w:szCs w:val="16"/>
              </w:rPr>
              <w:t>5、推进旅游公共服务体系建设，知道旅游设施建设。组织全区旅游整体形象的对外宣传和推广工作；制定全区旅游市场开发战略并组织实施，知道、推进全域旅游；对旅游市场进行行业监管。</w:t>
            </w:r>
          </w:p>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sz w:val="10"/>
                <w:szCs w:val="10"/>
              </w:rPr>
            </w:pPr>
            <w:r>
              <w:rPr>
                <w:rFonts w:hint="eastAsia" w:ascii="宋体" w:hAnsi="宋体" w:eastAsia="宋体" w:cs="宋体"/>
                <w:sz w:val="16"/>
                <w:szCs w:val="16"/>
                <w:lang w:val="en-US" w:eastAsia="zh-CN"/>
              </w:rPr>
              <w:t>6</w:t>
            </w:r>
            <w:r>
              <w:rPr>
                <w:rFonts w:hint="eastAsia" w:ascii="宋体" w:hAnsi="宋体" w:eastAsia="宋体" w:cs="宋体"/>
                <w:sz w:val="16"/>
                <w:szCs w:val="16"/>
              </w:rPr>
              <w:t>、承办区委、区政府交办的其他事项。</w:t>
            </w:r>
          </w:p>
        </w:tc>
      </w:tr>
      <w:tr>
        <w:tblPrEx>
          <w:tblCellMar>
            <w:top w:w="0" w:type="dxa"/>
            <w:left w:w="10" w:type="dxa"/>
            <w:bottom w:w="0" w:type="dxa"/>
            <w:right w:w="10" w:type="dxa"/>
          </w:tblCellMar>
        </w:tblPrEx>
        <w:trPr>
          <w:trHeight w:val="389" w:hRule="exact"/>
          <w:jc w:val="center"/>
        </w:trPr>
        <w:tc>
          <w:tcPr>
            <w:gridSpan w:val="5"/>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（二）简要概述部门支出情况，按活动内容分类.</w:t>
            </w:r>
          </w:p>
        </w:tc>
        <w:tc>
          <w:tcPr>
            <w:gridSpan w:val="7"/>
            <w:tcBorders>
              <w:top w:val="single" w:color="auto" w:sz="4" w:space="0"/>
              <w:left w:val="single" w:color="auto" w:sz="4" w:space="0"/>
              <w:right w:val="single" w:color="auto" w:sz="4" w:space="0"/>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lang w:val="en-US" w:eastAsia="zh-CN"/>
              </w:rPr>
            </w:pPr>
            <w:r>
              <w:rPr>
                <w:rFonts w:hint="eastAsia" w:ascii="宋体" w:hAnsi="宋体" w:eastAsia="宋体" w:cs="宋体"/>
                <w:sz w:val="16"/>
                <w:szCs w:val="16"/>
              </w:rPr>
              <w:t>2019年本年支出合计</w:t>
            </w:r>
            <w:r>
              <w:rPr>
                <w:rFonts w:hint="eastAsia" w:ascii="宋体" w:hAnsi="宋体" w:eastAsia="宋体" w:cs="宋体"/>
                <w:sz w:val="16"/>
                <w:szCs w:val="16"/>
                <w:lang w:val="en-US" w:eastAsia="zh-CN"/>
              </w:rPr>
              <w:t>380.51</w:t>
            </w:r>
            <w:r>
              <w:rPr>
                <w:rFonts w:hint="eastAsia" w:ascii="宋体" w:hAnsi="宋体" w:eastAsia="宋体" w:cs="宋体"/>
                <w:sz w:val="16"/>
                <w:szCs w:val="16"/>
              </w:rPr>
              <w:t>万元</w:t>
            </w:r>
            <w:r>
              <w:rPr>
                <w:rFonts w:hint="eastAsia" w:ascii="宋体" w:hAnsi="宋体" w:eastAsia="宋体" w:cs="宋体"/>
                <w:sz w:val="16"/>
                <w:szCs w:val="16"/>
                <w:lang w:eastAsia="zh-CN"/>
              </w:rPr>
              <w:t>，</w:t>
            </w:r>
            <w:r>
              <w:rPr>
                <w:rFonts w:hint="eastAsia" w:ascii="宋体" w:hAnsi="宋体" w:eastAsia="宋体" w:cs="宋体"/>
                <w:sz w:val="16"/>
                <w:szCs w:val="16"/>
              </w:rPr>
              <w:t>人员经费</w:t>
            </w:r>
            <w:r>
              <w:rPr>
                <w:rFonts w:hint="eastAsia" w:ascii="宋体" w:hAnsi="宋体" w:eastAsia="宋体" w:cs="宋体"/>
                <w:sz w:val="16"/>
                <w:szCs w:val="16"/>
                <w:lang w:val="en-US" w:eastAsia="zh-CN"/>
              </w:rPr>
              <w:t>170.1</w:t>
            </w:r>
            <w:r>
              <w:rPr>
                <w:rFonts w:hint="eastAsia" w:ascii="宋体" w:hAnsi="宋体" w:eastAsia="宋体" w:cs="宋体"/>
                <w:sz w:val="16"/>
                <w:szCs w:val="16"/>
              </w:rPr>
              <w:t>万元和公用经费</w:t>
            </w:r>
            <w:r>
              <w:rPr>
                <w:rFonts w:hint="eastAsia" w:ascii="宋体" w:hAnsi="宋体" w:eastAsia="宋体" w:cs="宋体"/>
                <w:sz w:val="16"/>
                <w:szCs w:val="16"/>
                <w:lang w:val="en-US" w:eastAsia="zh-CN"/>
              </w:rPr>
              <w:t>120.26</w:t>
            </w:r>
            <w:r>
              <w:rPr>
                <w:rFonts w:hint="eastAsia" w:ascii="宋体" w:hAnsi="宋体" w:eastAsia="宋体" w:cs="宋体"/>
                <w:sz w:val="16"/>
                <w:szCs w:val="16"/>
              </w:rPr>
              <w:t>万元</w:t>
            </w:r>
            <w:r>
              <w:rPr>
                <w:rFonts w:hint="eastAsia" w:ascii="宋体" w:hAnsi="宋体" w:eastAsia="宋体" w:cs="宋体"/>
                <w:sz w:val="16"/>
                <w:szCs w:val="16"/>
                <w:lang w:eastAsia="zh-CN"/>
              </w:rPr>
              <w:t>，</w:t>
            </w:r>
            <w:r>
              <w:rPr>
                <w:rFonts w:hint="eastAsia" w:ascii="宋体" w:hAnsi="宋体" w:eastAsia="宋体" w:cs="宋体"/>
                <w:sz w:val="16"/>
                <w:szCs w:val="16"/>
              </w:rPr>
              <w:t>项目支出</w:t>
            </w:r>
            <w:r>
              <w:rPr>
                <w:rFonts w:hint="eastAsia" w:ascii="宋体" w:hAnsi="宋体" w:eastAsia="宋体" w:cs="宋体"/>
                <w:sz w:val="16"/>
                <w:szCs w:val="16"/>
                <w:lang w:val="en-US" w:eastAsia="zh-CN"/>
              </w:rPr>
              <w:t>89.15</w:t>
            </w:r>
            <w:r>
              <w:rPr>
                <w:rFonts w:hint="eastAsia" w:ascii="宋体" w:hAnsi="宋体" w:eastAsia="宋体" w:cs="宋体"/>
                <w:sz w:val="16"/>
                <w:szCs w:val="16"/>
              </w:rPr>
              <w:t>万元</w:t>
            </w:r>
          </w:p>
          <w:p>
            <w:pPr>
              <w:widowControl w:val="0"/>
              <w:rPr>
                <w:sz w:val="10"/>
                <w:szCs w:val="10"/>
              </w:rPr>
            </w:pPr>
          </w:p>
        </w:tc>
      </w:tr>
      <w:tr>
        <w:tblPrEx>
          <w:tblCellMar>
            <w:top w:w="0" w:type="dxa"/>
            <w:left w:w="10" w:type="dxa"/>
            <w:bottom w:w="0" w:type="dxa"/>
            <w:right w:w="10" w:type="dxa"/>
          </w:tblCellMar>
        </w:tblPrEx>
        <w:trPr>
          <w:trHeight w:val="849" w:hRule="exact"/>
          <w:jc w:val="center"/>
        </w:trPr>
        <w:tc>
          <w:tcPr>
            <w:gridSpan w:val="5"/>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（三）简要概述当年市委市政府下达的重点工作.</w:t>
            </w:r>
          </w:p>
        </w:tc>
        <w:tc>
          <w:tcPr>
            <w:gridSpan w:val="7"/>
            <w:tcBorders>
              <w:top w:val="single" w:color="auto" w:sz="4" w:space="0"/>
              <w:left w:val="single" w:color="auto" w:sz="4" w:space="0"/>
              <w:right w:val="single" w:color="auto" w:sz="4" w:space="0"/>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rPr>
            </w:pPr>
            <w:r>
              <w:rPr>
                <w:rFonts w:hint="eastAsia" w:ascii="宋体" w:hAnsi="宋体" w:eastAsia="宋体" w:cs="宋体"/>
                <w:sz w:val="16"/>
                <w:szCs w:val="16"/>
              </w:rPr>
              <w:t>2019年，我局共承担市考指标4项，一是规范提升回坊风情街区旅游秩序，新增A级旅游景区1个，建成等级民宿30家；二是基层公共文化服务站点建设达标率100%；三是新改建旅游厕所3座；四是打造城市社区“15分钟健身圈”、打造城市社区“15分钟阅读圈”。</w:t>
            </w:r>
          </w:p>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lang w:val="en-US" w:eastAsia="zh-CN"/>
              </w:rPr>
            </w:pPr>
          </w:p>
          <w:p>
            <w:pPr>
              <w:widowControl w:val="0"/>
              <w:rPr>
                <w:sz w:val="10"/>
                <w:szCs w:val="10"/>
              </w:rPr>
            </w:pPr>
          </w:p>
        </w:tc>
      </w:tr>
      <w:tr>
        <w:tblPrEx>
          <w:tblCellMar>
            <w:top w:w="0" w:type="dxa"/>
            <w:left w:w="10" w:type="dxa"/>
            <w:bottom w:w="0" w:type="dxa"/>
            <w:right w:w="10" w:type="dxa"/>
          </w:tblCellMar>
        </w:tblPrEx>
        <w:trPr>
          <w:trHeight w:val="706" w:hRule="exact"/>
          <w:jc w:val="center"/>
        </w:trPr>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30" w:lineRule="exact"/>
              <w:ind w:left="0" w:right="0" w:firstLine="0"/>
              <w:jc w:val="left"/>
              <w:rPr>
                <w:sz w:val="16"/>
                <w:szCs w:val="16"/>
              </w:rPr>
            </w:pPr>
            <w:r>
              <w:rPr>
                <w:color w:val="000000"/>
                <w:spacing w:val="0"/>
                <w:w w:val="100"/>
                <w:position w:val="0"/>
                <w:sz w:val="16"/>
                <w:szCs w:val="16"/>
              </w:rPr>
              <w:t>一级 指标</w:t>
            </w:r>
          </w:p>
        </w:tc>
        <w:tc>
          <w:tcPr>
            <w:tcBorders>
              <w:top w:val="single" w:color="auto" w:sz="4" w:space="0"/>
              <w:left w:val="single" w:color="auto" w:sz="4" w:space="0"/>
            </w:tcBorders>
            <w:shd w:val="clear" w:color="auto" w:fill="FFFFFF"/>
            <w:textDirection w:val="tbRlV"/>
            <w:vAlign w:val="bottom"/>
          </w:tcPr>
          <w:p>
            <w:pPr>
              <w:pStyle w:val="14"/>
              <w:keepNext w:val="0"/>
              <w:keepLines w:val="0"/>
              <w:widowControl w:val="0"/>
              <w:shd w:val="clear" w:color="auto" w:fill="auto"/>
              <w:bidi w:val="0"/>
              <w:spacing w:before="0" w:after="0" w:line="202" w:lineRule="exact"/>
              <w:ind w:left="0" w:right="0" w:firstLine="140"/>
              <w:jc w:val="left"/>
              <w:rPr>
                <w:sz w:val="17"/>
                <w:szCs w:val="17"/>
              </w:rPr>
            </w:pPr>
            <w:r>
              <w:rPr>
                <w:color w:val="000000"/>
                <w:spacing w:val="0"/>
                <w:w w:val="100"/>
                <w:position w:val="0"/>
                <w:sz w:val="17"/>
                <w:szCs w:val="17"/>
              </w:rPr>
              <w:t>级标一 二指</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23" w:lineRule="exact"/>
              <w:ind w:left="0" w:right="0" w:firstLine="0"/>
              <w:jc w:val="both"/>
              <w:rPr>
                <w:sz w:val="16"/>
                <w:szCs w:val="16"/>
              </w:rPr>
            </w:pPr>
            <w:r>
              <w:rPr>
                <w:color w:val="000000"/>
                <w:spacing w:val="0"/>
                <w:w w:val="100"/>
                <w:position w:val="0"/>
                <w:sz w:val="16"/>
                <w:szCs w:val="16"/>
              </w:rPr>
              <w:t>三级 指标</w:t>
            </w:r>
          </w:p>
        </w:tc>
        <w:tc>
          <w:tcPr>
            <w:tcBorders>
              <w:top w:val="single" w:color="auto" w:sz="4" w:space="0"/>
              <w:left w:val="single" w:color="auto" w:sz="4" w:space="0"/>
            </w:tcBorders>
            <w:shd w:val="clear" w:color="auto" w:fill="FFFFFF"/>
            <w:textDirection w:val="tbRlV"/>
            <w:vAlign w:val="bottom"/>
          </w:tcPr>
          <w:p>
            <w:pPr>
              <w:pStyle w:val="14"/>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分值</w:t>
            </w:r>
            <w:r>
              <w:rPr>
                <w:color w:val="000000"/>
                <w:spacing w:val="0"/>
                <w:w w:val="100"/>
                <w:position w:val="0"/>
                <w:sz w:val="17"/>
                <w:szCs w:val="17"/>
                <w:lang w:val="zh-CN" w:eastAsia="zh-CN" w:bidi="zh-CN"/>
              </w:rPr>
              <w:t>-</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指标说明</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评分标准</w:t>
            </w:r>
          </w:p>
        </w:tc>
        <w:tc>
          <w:tcPr>
            <w:tcBorders>
              <w:top w:val="single" w:color="auto" w:sz="4" w:space="0"/>
              <w:left w:val="single" w:color="auto" w:sz="4" w:space="0"/>
            </w:tcBorders>
            <w:shd w:val="clear" w:color="auto" w:fill="FFFFFF"/>
            <w:vAlign w:val="top"/>
          </w:tcPr>
          <w:p>
            <w:pPr>
              <w:pStyle w:val="12"/>
              <w:keepNext w:val="0"/>
              <w:keepLines w:val="0"/>
              <w:widowControl w:val="0"/>
              <w:shd w:val="clear" w:color="auto" w:fill="auto"/>
              <w:bidi w:val="0"/>
              <w:spacing w:before="0" w:after="0" w:line="212" w:lineRule="exact"/>
              <w:ind w:left="0" w:right="0" w:firstLine="0"/>
              <w:jc w:val="left"/>
              <w:rPr>
                <w:sz w:val="16"/>
                <w:szCs w:val="16"/>
              </w:rPr>
            </w:pPr>
            <w:r>
              <w:rPr>
                <w:color w:val="000000"/>
                <w:spacing w:val="0"/>
                <w:w w:val="100"/>
                <w:position w:val="0"/>
                <w:sz w:val="16"/>
                <w:szCs w:val="16"/>
              </w:rPr>
              <w:t>指标值计算 公式和数据 获取方式</w:t>
            </w:r>
          </w:p>
        </w:tc>
        <w:tc>
          <w:tcPr>
            <w:tcW w:w="720" w:type="dxa"/>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09" w:lineRule="exact"/>
              <w:ind w:left="0" w:right="0" w:firstLine="0"/>
              <w:jc w:val="center"/>
              <w:rPr>
                <w:sz w:val="16"/>
                <w:szCs w:val="16"/>
              </w:rPr>
            </w:pPr>
            <w:r>
              <w:rPr>
                <w:color w:val="000000"/>
                <w:spacing w:val="0"/>
                <w:w w:val="100"/>
                <w:position w:val="0"/>
                <w:sz w:val="16"/>
                <w:szCs w:val="16"/>
              </w:rPr>
              <w:t>年初目 标值</w:t>
            </w:r>
          </w:p>
        </w:tc>
        <w:tc>
          <w:tcPr>
            <w:tcW w:w="713" w:type="dxa"/>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09" w:lineRule="exact"/>
              <w:ind w:left="0" w:right="0" w:firstLine="0"/>
              <w:jc w:val="center"/>
              <w:rPr>
                <w:sz w:val="16"/>
                <w:szCs w:val="16"/>
              </w:rPr>
            </w:pPr>
            <w:r>
              <w:rPr>
                <w:color w:val="000000"/>
                <w:spacing w:val="0"/>
                <w:w w:val="100"/>
                <w:position w:val="0"/>
                <w:sz w:val="16"/>
                <w:szCs w:val="16"/>
              </w:rPr>
              <w:t>实际完 成值</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40" w:lineRule="auto"/>
              <w:ind w:left="0" w:right="0" w:firstLine="0"/>
              <w:jc w:val="right"/>
              <w:rPr>
                <w:sz w:val="16"/>
                <w:szCs w:val="16"/>
              </w:rPr>
            </w:pPr>
            <w:r>
              <w:rPr>
                <w:color w:val="000000"/>
                <w:spacing w:val="0"/>
                <w:w w:val="100"/>
                <w:position w:val="0"/>
                <w:sz w:val="16"/>
                <w:szCs w:val="16"/>
              </w:rPr>
              <w:t>得分</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16" w:lineRule="exact"/>
              <w:ind w:left="0" w:right="0" w:firstLine="0"/>
              <w:jc w:val="center"/>
              <w:rPr>
                <w:sz w:val="16"/>
                <w:szCs w:val="16"/>
              </w:rPr>
            </w:pPr>
            <w:r>
              <w:rPr>
                <w:color w:val="000000"/>
                <w:spacing w:val="0"/>
                <w:w w:val="100"/>
                <w:position w:val="0"/>
                <w:sz w:val="16"/>
                <w:szCs w:val="16"/>
              </w:rPr>
              <w:t>未完成原因分析 与改进措施</w:t>
            </w:r>
          </w:p>
        </w:tc>
        <w:tc>
          <w:tcPr>
            <w:tcBorders>
              <w:top w:val="single" w:color="auto" w:sz="4" w:space="0"/>
              <w:left w:val="single" w:color="auto" w:sz="4" w:space="0"/>
              <w:right w:val="single" w:color="auto" w:sz="4" w:space="0"/>
            </w:tcBorders>
            <w:shd w:val="clear" w:color="auto" w:fill="FFFFFF"/>
            <w:vAlign w:val="center"/>
          </w:tcPr>
          <w:p>
            <w:pPr>
              <w:pStyle w:val="12"/>
              <w:keepNext w:val="0"/>
              <w:keepLines w:val="0"/>
              <w:widowControl w:val="0"/>
              <w:shd w:val="clear" w:color="auto" w:fill="auto"/>
              <w:bidi w:val="0"/>
              <w:spacing w:before="0" w:after="0" w:line="216" w:lineRule="exact"/>
              <w:ind w:left="0" w:right="0" w:firstLine="0"/>
              <w:jc w:val="center"/>
              <w:rPr>
                <w:sz w:val="16"/>
                <w:szCs w:val="16"/>
              </w:rPr>
            </w:pPr>
            <w:r>
              <w:rPr>
                <w:color w:val="000000"/>
                <w:spacing w:val="0"/>
                <w:w w:val="100"/>
                <w:position w:val="0"/>
                <w:sz w:val="16"/>
                <w:szCs w:val="16"/>
              </w:rPr>
              <w:t>绩效指标分析 与建议</w:t>
            </w:r>
          </w:p>
        </w:tc>
      </w:tr>
      <w:tr>
        <w:tblPrEx>
          <w:tblCellMar>
            <w:top w:w="0" w:type="dxa"/>
            <w:left w:w="10" w:type="dxa"/>
            <w:bottom w:w="0" w:type="dxa"/>
            <w:right w:w="10" w:type="dxa"/>
          </w:tblCellMar>
        </w:tblPrEx>
        <w:trPr>
          <w:trHeight w:val="2405" w:hRule="exact"/>
          <w:jc w:val="center"/>
        </w:trPr>
        <w:tc>
          <w:tcPr>
            <w:vMerge w:val="restart"/>
            <w:tcBorders>
              <w:top w:val="single" w:color="auto" w:sz="4" w:space="0"/>
              <w:left w:val="single" w:color="auto" w:sz="4" w:space="0"/>
            </w:tcBorders>
            <w:shd w:val="clear" w:color="auto" w:fill="FFFFFF"/>
            <w:vAlign w:val="center"/>
          </w:tcPr>
          <w:p>
            <w:pPr>
              <w:pStyle w:val="1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投入</w:t>
            </w:r>
          </w:p>
        </w:tc>
        <w:tc>
          <w:tcPr>
            <w:vMerge w:val="restart"/>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05" w:lineRule="exact"/>
              <w:ind w:left="0" w:right="0" w:firstLine="0"/>
              <w:jc w:val="center"/>
              <w:rPr>
                <w:sz w:val="16"/>
                <w:szCs w:val="16"/>
              </w:rPr>
            </w:pPr>
            <w:r>
              <w:rPr>
                <w:color w:val="000000"/>
                <w:spacing w:val="0"/>
                <w:w w:val="100"/>
                <w:position w:val="0"/>
                <w:sz w:val="16"/>
                <w:szCs w:val="16"/>
                <w:lang w:val="zh-CN" w:eastAsia="zh-CN" w:bidi="zh-CN"/>
              </w:rPr>
              <w:t xml:space="preserve">预算执 </w:t>
            </w:r>
            <w:r>
              <w:rPr>
                <w:color w:val="000000"/>
                <w:spacing w:val="0"/>
                <w:w w:val="100"/>
                <w:position w:val="0"/>
                <w:sz w:val="16"/>
                <w:szCs w:val="16"/>
              </w:rPr>
              <w:t>行（</w:t>
            </w:r>
            <w:r>
              <w:rPr>
                <w:b/>
                <w:bCs/>
                <w:color w:val="000000"/>
                <w:spacing w:val="0"/>
                <w:w w:val="100"/>
                <w:position w:val="0"/>
                <w:sz w:val="18"/>
                <w:szCs w:val="18"/>
              </w:rPr>
              <w:t xml:space="preserve">25 </w:t>
            </w:r>
            <w:r>
              <w:rPr>
                <w:color w:val="000000"/>
                <w:spacing w:val="0"/>
                <w:w w:val="100"/>
                <w:position w:val="0"/>
                <w:sz w:val="16"/>
                <w:szCs w:val="16"/>
              </w:rPr>
              <w:t>分）</w:t>
            </w:r>
          </w:p>
        </w:tc>
        <w:tc>
          <w:tcPr>
            <w:tcBorders>
              <w:top w:val="single" w:color="auto" w:sz="4" w:space="0"/>
              <w:left w:val="single" w:color="auto" w:sz="4" w:space="0"/>
            </w:tcBorders>
            <w:shd w:val="clear" w:color="auto" w:fill="FFFFFF"/>
            <w:vAlign w:val="center"/>
          </w:tcPr>
          <w:p>
            <w:pPr>
              <w:pStyle w:val="14"/>
              <w:keepNext w:val="0"/>
              <w:keepLines w:val="0"/>
              <w:widowControl w:val="0"/>
              <w:shd w:val="clear" w:color="auto" w:fill="auto"/>
              <w:bidi w:val="0"/>
              <w:spacing w:before="0" w:after="0" w:line="216" w:lineRule="exact"/>
              <w:ind w:left="0" w:right="0" w:firstLine="0"/>
              <w:jc w:val="center"/>
            </w:pPr>
            <w:r>
              <w:rPr>
                <w:color w:val="000000"/>
                <w:spacing w:val="0"/>
                <w:w w:val="100"/>
                <w:position w:val="0"/>
              </w:rPr>
              <w:t>算成</w:t>
            </w:r>
            <w:r>
              <w:rPr>
                <w:b/>
                <w:bCs/>
                <w:color w:val="000000"/>
                <w:spacing w:val="0"/>
                <w:w w:val="100"/>
                <w:position w:val="0"/>
                <w:sz w:val="18"/>
                <w:szCs w:val="18"/>
              </w:rPr>
              <w:t xml:space="preserve">10) </w:t>
            </w:r>
            <w:r>
              <w:rPr>
                <w:color w:val="000000"/>
                <w:spacing w:val="0"/>
                <w:w w:val="100"/>
                <w:position w:val="0"/>
                <w:u w:val="single"/>
              </w:rPr>
              <w:t>预完率</w:t>
            </w:r>
            <w:r>
              <w:rPr>
                <w:b/>
                <w:bCs/>
                <w:color w:val="000000"/>
                <w:spacing w:val="0"/>
                <w:w w:val="100"/>
                <w:position w:val="0"/>
                <w:sz w:val="18"/>
                <w:szCs w:val="18"/>
                <w:u w:val="single"/>
              </w:rPr>
              <w:t>1</w:t>
            </w:r>
            <w:r>
              <w:rPr>
                <w:color w:val="000000"/>
                <w:spacing w:val="0"/>
                <w:w w:val="100"/>
                <w:position w:val="0"/>
                <w:u w:val="single"/>
              </w:rPr>
              <w:t>分</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10</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09" w:lineRule="exact"/>
              <w:ind w:left="0" w:right="0" w:firstLine="0"/>
              <w:jc w:val="left"/>
              <w:rPr>
                <w:sz w:val="16"/>
                <w:szCs w:val="16"/>
              </w:rPr>
            </w:pPr>
            <w:r>
              <w:rPr>
                <w:color w:val="000000"/>
                <w:spacing w:val="0"/>
                <w:w w:val="100"/>
                <w:position w:val="0"/>
                <w:sz w:val="16"/>
                <w:szCs w:val="16"/>
              </w:rPr>
              <w:t xml:space="preserve">预算完成率=（预算完成数/预算數） </w:t>
            </w:r>
            <w:r>
              <w:rPr>
                <w:b/>
                <w:bCs/>
                <w:color w:val="000000"/>
                <w:spacing w:val="0"/>
                <w:w w:val="100"/>
                <w:position w:val="0"/>
                <w:sz w:val="18"/>
                <w:szCs w:val="18"/>
              </w:rPr>
              <w:t>X 100%,</w:t>
            </w:r>
            <w:r>
              <w:rPr>
                <w:color w:val="000000"/>
                <w:spacing w:val="0"/>
                <w:w w:val="100"/>
                <w:position w:val="0"/>
                <w:sz w:val="16"/>
                <w:szCs w:val="16"/>
              </w:rPr>
              <w:t>用以反映和考核部门（单位） 预算完成程度.</w:t>
            </w:r>
          </w:p>
          <w:p>
            <w:pPr>
              <w:pStyle w:val="12"/>
              <w:keepNext w:val="0"/>
              <w:keepLines w:val="0"/>
              <w:widowControl w:val="0"/>
              <w:shd w:val="clear" w:color="auto" w:fill="auto"/>
              <w:bidi w:val="0"/>
              <w:spacing w:before="0" w:after="0" w:line="209" w:lineRule="exact"/>
              <w:ind w:left="0" w:right="0" w:firstLine="0"/>
              <w:jc w:val="left"/>
              <w:rPr>
                <w:sz w:val="16"/>
                <w:szCs w:val="16"/>
              </w:rPr>
            </w:pPr>
            <w:r>
              <w:rPr>
                <w:color w:val="000000"/>
                <w:spacing w:val="0"/>
                <w:w w:val="100"/>
                <w:position w:val="0"/>
                <w:sz w:val="16"/>
                <w:szCs w:val="16"/>
              </w:rPr>
              <w:t>预算完成数：部门（单位）本年度实际 完成的预算数.</w:t>
            </w:r>
          </w:p>
          <w:p>
            <w:pPr>
              <w:pStyle w:val="12"/>
              <w:keepNext w:val="0"/>
              <w:keepLines w:val="0"/>
              <w:widowControl w:val="0"/>
              <w:shd w:val="clear" w:color="auto" w:fill="auto"/>
              <w:bidi w:val="0"/>
              <w:spacing w:before="0" w:after="0" w:line="209" w:lineRule="exact"/>
              <w:ind w:left="0" w:right="0" w:firstLine="0"/>
              <w:jc w:val="left"/>
              <w:rPr>
                <w:sz w:val="16"/>
                <w:szCs w:val="16"/>
              </w:rPr>
            </w:pPr>
            <w:r>
              <w:rPr>
                <w:color w:val="000000"/>
                <w:spacing w:val="0"/>
                <w:w w:val="100"/>
                <w:position w:val="0"/>
                <w:sz w:val="16"/>
                <w:szCs w:val="16"/>
              </w:rPr>
              <w:t>预算数：财政部门批复的本年度部门 （单位）预算数。</w:t>
            </w:r>
          </w:p>
        </w:tc>
        <w:tc>
          <w:tcPr>
            <w:tcBorders>
              <w:top w:val="single" w:color="auto" w:sz="4" w:space="0"/>
              <w:left w:val="single" w:color="auto" w:sz="4" w:space="0"/>
            </w:tcBorders>
            <w:shd w:val="clear" w:color="auto" w:fill="FFFFFF"/>
            <w:vAlign w:val="bottom"/>
          </w:tcPr>
          <w:p>
            <w:pPr>
              <w:pStyle w:val="12"/>
              <w:keepNext w:val="0"/>
              <w:keepLines w:val="0"/>
              <w:widowControl w:val="0"/>
              <w:shd w:val="clear" w:color="auto" w:fill="auto"/>
              <w:bidi w:val="0"/>
              <w:spacing w:before="0" w:after="0" w:line="205" w:lineRule="exact"/>
              <w:ind w:left="0" w:right="0" w:firstLine="0"/>
              <w:jc w:val="left"/>
              <w:rPr>
                <w:sz w:val="16"/>
                <w:szCs w:val="16"/>
              </w:rPr>
            </w:pPr>
            <w:r>
              <w:rPr>
                <w:color w:val="000000"/>
                <w:spacing w:val="0"/>
                <w:w w:val="100"/>
                <w:position w:val="0"/>
                <w:sz w:val="16"/>
                <w:szCs w:val="16"/>
              </w:rPr>
              <w:t>预算完成率-</w:t>
            </w:r>
            <w:r>
              <w:rPr>
                <w:b/>
                <w:bCs/>
                <w:color w:val="000000"/>
                <w:spacing w:val="0"/>
                <w:w w:val="100"/>
                <w:position w:val="0"/>
                <w:sz w:val="18"/>
                <w:szCs w:val="18"/>
              </w:rPr>
              <w:t>100%</w:t>
            </w:r>
            <w:r>
              <w:rPr>
                <w:color w:val="000000"/>
                <w:spacing w:val="0"/>
                <w:w w:val="100"/>
                <w:position w:val="0"/>
                <w:sz w:val="16"/>
                <w:szCs w:val="16"/>
              </w:rPr>
              <w:t>的，得</w:t>
            </w:r>
            <w:r>
              <w:rPr>
                <w:b/>
                <w:bCs/>
                <w:color w:val="000000"/>
                <w:spacing w:val="0"/>
                <w:w w:val="100"/>
                <w:position w:val="0"/>
                <w:sz w:val="18"/>
                <w:szCs w:val="18"/>
              </w:rPr>
              <w:t>10</w:t>
            </w:r>
            <w:r>
              <w:rPr>
                <w:color w:val="000000"/>
                <w:spacing w:val="0"/>
                <w:w w:val="100"/>
                <w:position w:val="0"/>
                <w:sz w:val="16"/>
                <w:szCs w:val="16"/>
              </w:rPr>
              <w:t>分. 预算完成率</w:t>
            </w:r>
            <w:r>
              <w:rPr>
                <w:b/>
                <w:bCs/>
                <w:color w:val="000000"/>
                <w:spacing w:val="0"/>
                <w:w w:val="100"/>
                <w:position w:val="0"/>
                <w:sz w:val="18"/>
                <w:szCs w:val="18"/>
              </w:rPr>
              <w:t>＞95%</w:t>
            </w:r>
            <w:r>
              <w:rPr>
                <w:color w:val="000000"/>
                <w:spacing w:val="0"/>
                <w:w w:val="100"/>
                <w:position w:val="0"/>
                <w:sz w:val="16"/>
                <w:szCs w:val="16"/>
              </w:rPr>
              <w:t>的，得</w:t>
            </w:r>
            <w:r>
              <w:rPr>
                <w:b/>
                <w:bCs/>
                <w:color w:val="000000"/>
                <w:spacing w:val="0"/>
                <w:w w:val="100"/>
                <w:position w:val="0"/>
                <w:sz w:val="18"/>
                <w:szCs w:val="18"/>
              </w:rPr>
              <w:t>9</w:t>
            </w:r>
            <w:r>
              <w:rPr>
                <w:color w:val="000000"/>
                <w:spacing w:val="0"/>
                <w:w w:val="100"/>
                <w:position w:val="0"/>
                <w:sz w:val="16"/>
                <w:szCs w:val="16"/>
              </w:rPr>
              <w:t>分. 预算完成率在</w:t>
            </w:r>
            <w:r>
              <w:rPr>
                <w:b/>
                <w:bCs/>
                <w:color w:val="000000"/>
                <w:spacing w:val="0"/>
                <w:w w:val="100"/>
                <w:position w:val="0"/>
                <w:sz w:val="18"/>
                <w:szCs w:val="18"/>
              </w:rPr>
              <w:t xml:space="preserve">90% </w:t>
            </w:r>
            <w:r>
              <w:rPr>
                <w:color w:val="000000"/>
                <w:spacing w:val="0"/>
                <w:w w:val="100"/>
                <w:position w:val="0"/>
                <w:sz w:val="16"/>
                <w:szCs w:val="16"/>
              </w:rPr>
              <w:t>（含）和</w:t>
            </w:r>
            <w:r>
              <w:rPr>
                <w:b/>
                <w:bCs/>
                <w:color w:val="000000"/>
                <w:spacing w:val="0"/>
                <w:w w:val="100"/>
                <w:position w:val="0"/>
                <w:sz w:val="18"/>
                <w:szCs w:val="18"/>
              </w:rPr>
              <w:t>95%</w:t>
            </w:r>
            <w:r>
              <w:rPr>
                <w:color w:val="000000"/>
                <w:spacing w:val="0"/>
                <w:w w:val="100"/>
                <w:position w:val="0"/>
                <w:sz w:val="16"/>
                <w:szCs w:val="16"/>
              </w:rPr>
              <w:t>之 间，得</w:t>
            </w:r>
            <w:r>
              <w:rPr>
                <w:b/>
                <w:bCs/>
                <w:color w:val="000000"/>
                <w:spacing w:val="0"/>
                <w:w w:val="100"/>
                <w:position w:val="0"/>
                <w:sz w:val="18"/>
                <w:szCs w:val="18"/>
              </w:rPr>
              <w:t>8</w:t>
            </w:r>
            <w:r>
              <w:rPr>
                <w:color w:val="000000"/>
                <w:spacing w:val="0"/>
                <w:w w:val="100"/>
                <w:position w:val="0"/>
                <w:sz w:val="16"/>
                <w:szCs w:val="16"/>
              </w:rPr>
              <w:t>分。</w:t>
            </w:r>
          </w:p>
          <w:p>
            <w:pPr>
              <w:pStyle w:val="12"/>
              <w:keepNext w:val="0"/>
              <w:keepLines w:val="0"/>
              <w:widowControl w:val="0"/>
              <w:shd w:val="clear" w:color="auto" w:fill="auto"/>
              <w:bidi w:val="0"/>
              <w:spacing w:before="0" w:after="0" w:line="205" w:lineRule="exact"/>
              <w:ind w:left="0" w:right="0" w:firstLine="0"/>
              <w:jc w:val="left"/>
              <w:rPr>
                <w:sz w:val="16"/>
                <w:szCs w:val="16"/>
              </w:rPr>
            </w:pPr>
            <w:r>
              <w:rPr>
                <w:color w:val="000000"/>
                <w:spacing w:val="0"/>
                <w:w w:val="100"/>
                <w:position w:val="0"/>
                <w:sz w:val="16"/>
                <w:szCs w:val="16"/>
              </w:rPr>
              <w:t>预算完成率在</w:t>
            </w:r>
            <w:r>
              <w:rPr>
                <w:b/>
                <w:bCs/>
                <w:color w:val="000000"/>
                <w:spacing w:val="0"/>
                <w:w w:val="100"/>
                <w:position w:val="0"/>
                <w:sz w:val="18"/>
                <w:szCs w:val="18"/>
              </w:rPr>
              <w:t xml:space="preserve">85% </w:t>
            </w:r>
            <w:r>
              <w:rPr>
                <w:color w:val="000000"/>
                <w:spacing w:val="0"/>
                <w:w w:val="100"/>
                <w:position w:val="0"/>
                <w:sz w:val="16"/>
                <w:szCs w:val="16"/>
              </w:rPr>
              <w:t>（含）和</w:t>
            </w:r>
            <w:r>
              <w:rPr>
                <w:b/>
                <w:bCs/>
                <w:color w:val="000000"/>
                <w:spacing w:val="0"/>
                <w:w w:val="100"/>
                <w:position w:val="0"/>
                <w:sz w:val="18"/>
                <w:szCs w:val="18"/>
              </w:rPr>
              <w:t>90%</w:t>
            </w:r>
            <w:r>
              <w:rPr>
                <w:color w:val="000000"/>
                <w:spacing w:val="0"/>
                <w:w w:val="100"/>
                <w:position w:val="0"/>
                <w:sz w:val="16"/>
                <w:szCs w:val="16"/>
              </w:rPr>
              <w:t>之 间，得</w:t>
            </w:r>
            <w:r>
              <w:rPr>
                <w:b/>
                <w:bCs/>
                <w:color w:val="000000"/>
                <w:spacing w:val="0"/>
                <w:w w:val="100"/>
                <w:position w:val="0"/>
                <w:sz w:val="18"/>
                <w:szCs w:val="18"/>
              </w:rPr>
              <w:t>7</w:t>
            </w:r>
            <w:r>
              <w:rPr>
                <w:color w:val="000000"/>
                <w:spacing w:val="0"/>
                <w:w w:val="100"/>
                <w:position w:val="0"/>
                <w:sz w:val="16"/>
                <w:szCs w:val="16"/>
              </w:rPr>
              <w:t>分.</w:t>
            </w:r>
          </w:p>
          <w:p>
            <w:pPr>
              <w:pStyle w:val="12"/>
              <w:keepNext w:val="0"/>
              <w:keepLines w:val="0"/>
              <w:widowControl w:val="0"/>
              <w:shd w:val="clear" w:color="auto" w:fill="auto"/>
              <w:bidi w:val="0"/>
              <w:spacing w:before="0" w:after="0" w:line="205" w:lineRule="exact"/>
              <w:ind w:left="0" w:right="0" w:firstLine="0"/>
              <w:jc w:val="left"/>
              <w:rPr>
                <w:sz w:val="16"/>
                <w:szCs w:val="16"/>
              </w:rPr>
            </w:pPr>
            <w:r>
              <w:rPr>
                <w:color w:val="000000"/>
                <w:spacing w:val="0"/>
                <w:w w:val="100"/>
                <w:position w:val="0"/>
                <w:sz w:val="16"/>
                <w:szCs w:val="16"/>
              </w:rPr>
              <w:t>预算完成率在</w:t>
            </w:r>
            <w:r>
              <w:rPr>
                <w:b/>
                <w:bCs/>
                <w:color w:val="000000"/>
                <w:spacing w:val="0"/>
                <w:w w:val="100"/>
                <w:position w:val="0"/>
                <w:sz w:val="18"/>
                <w:szCs w:val="18"/>
              </w:rPr>
              <w:t>80% （</w:t>
            </w:r>
            <w:r>
              <w:rPr>
                <w:color w:val="000000"/>
                <w:spacing w:val="0"/>
                <w:w w:val="100"/>
                <w:position w:val="0"/>
                <w:sz w:val="16"/>
                <w:szCs w:val="16"/>
              </w:rPr>
              <w:t>含）和</w:t>
            </w:r>
            <w:r>
              <w:rPr>
                <w:b/>
                <w:bCs/>
                <w:color w:val="000000"/>
                <w:spacing w:val="0"/>
                <w:w w:val="100"/>
                <w:position w:val="0"/>
                <w:sz w:val="18"/>
                <w:szCs w:val="18"/>
              </w:rPr>
              <w:t>85%</w:t>
            </w:r>
            <w:r>
              <w:rPr>
                <w:color w:val="000000"/>
                <w:spacing w:val="0"/>
                <w:w w:val="100"/>
                <w:position w:val="0"/>
                <w:sz w:val="16"/>
                <w:szCs w:val="16"/>
              </w:rPr>
              <w:t>之 间，得</w:t>
            </w:r>
            <w:r>
              <w:rPr>
                <w:b/>
                <w:bCs/>
                <w:color w:val="000000"/>
                <w:spacing w:val="0"/>
                <w:w w:val="100"/>
                <w:position w:val="0"/>
                <w:sz w:val="18"/>
                <w:szCs w:val="18"/>
              </w:rPr>
              <w:t>6</w:t>
            </w:r>
            <w:r>
              <w:rPr>
                <w:color w:val="000000"/>
                <w:spacing w:val="0"/>
                <w:w w:val="100"/>
                <w:position w:val="0"/>
                <w:sz w:val="16"/>
                <w:szCs w:val="16"/>
              </w:rPr>
              <w:t>分.</w:t>
            </w:r>
          </w:p>
          <w:p>
            <w:pPr>
              <w:pStyle w:val="12"/>
              <w:keepNext w:val="0"/>
              <w:keepLines w:val="0"/>
              <w:widowControl w:val="0"/>
              <w:shd w:val="clear" w:color="auto" w:fill="auto"/>
              <w:bidi w:val="0"/>
              <w:spacing w:before="0" w:after="0" w:line="205" w:lineRule="exact"/>
              <w:ind w:left="0" w:right="0" w:firstLine="0"/>
              <w:jc w:val="left"/>
              <w:rPr>
                <w:sz w:val="16"/>
                <w:szCs w:val="16"/>
              </w:rPr>
            </w:pPr>
            <w:r>
              <w:rPr>
                <w:color w:val="000000"/>
                <w:spacing w:val="0"/>
                <w:w w:val="100"/>
                <w:position w:val="0"/>
                <w:sz w:val="16"/>
                <w:szCs w:val="16"/>
              </w:rPr>
              <w:t>预算完成率在</w:t>
            </w:r>
            <w:r>
              <w:rPr>
                <w:b/>
                <w:bCs/>
                <w:color w:val="000000"/>
                <w:spacing w:val="0"/>
                <w:w w:val="100"/>
                <w:position w:val="0"/>
                <w:sz w:val="18"/>
                <w:szCs w:val="18"/>
              </w:rPr>
              <w:t>70% （</w:t>
            </w:r>
            <w:r>
              <w:rPr>
                <w:color w:val="000000"/>
                <w:spacing w:val="0"/>
                <w:w w:val="100"/>
                <w:position w:val="0"/>
                <w:sz w:val="16"/>
                <w:szCs w:val="16"/>
              </w:rPr>
              <w:t>含</w:t>
            </w:r>
            <w:r>
              <w:rPr>
                <w:b/>
                <w:bCs/>
                <w:i/>
                <w:iCs/>
                <w:color w:val="000000"/>
                <w:spacing w:val="0"/>
                <w:w w:val="100"/>
                <w:position w:val="0"/>
                <w:sz w:val="18"/>
                <w:szCs w:val="18"/>
              </w:rPr>
              <w:t>）</w:t>
            </w:r>
            <w:r>
              <w:rPr>
                <w:color w:val="000000"/>
                <w:spacing w:val="0"/>
                <w:w w:val="100"/>
                <w:position w:val="0"/>
                <w:sz w:val="16"/>
                <w:szCs w:val="16"/>
              </w:rPr>
              <w:t>和</w:t>
            </w:r>
            <w:r>
              <w:rPr>
                <w:b/>
                <w:bCs/>
                <w:color w:val="000000"/>
                <w:spacing w:val="0"/>
                <w:w w:val="100"/>
                <w:position w:val="0"/>
                <w:sz w:val="18"/>
                <w:szCs w:val="18"/>
              </w:rPr>
              <w:t>80%</w:t>
            </w:r>
            <w:r>
              <w:rPr>
                <w:color w:val="000000"/>
                <w:spacing w:val="0"/>
                <w:w w:val="100"/>
                <w:position w:val="0"/>
                <w:sz w:val="16"/>
                <w:szCs w:val="16"/>
              </w:rPr>
              <w:t>之 间，得</w:t>
            </w:r>
            <w:r>
              <w:rPr>
                <w:b/>
                <w:bCs/>
                <w:color w:val="000000"/>
                <w:spacing w:val="0"/>
                <w:w w:val="100"/>
                <w:position w:val="0"/>
                <w:sz w:val="18"/>
                <w:szCs w:val="18"/>
              </w:rPr>
              <w:t>4</w:t>
            </w:r>
            <w:r>
              <w:rPr>
                <w:color w:val="000000"/>
                <w:spacing w:val="0"/>
                <w:w w:val="100"/>
                <w:position w:val="0"/>
                <w:sz w:val="16"/>
                <w:szCs w:val="16"/>
              </w:rPr>
              <w:t>分.</w:t>
            </w:r>
          </w:p>
          <w:p>
            <w:pPr>
              <w:pStyle w:val="12"/>
              <w:keepNext w:val="0"/>
              <w:keepLines w:val="0"/>
              <w:widowControl w:val="0"/>
              <w:shd w:val="clear" w:color="auto" w:fill="auto"/>
              <w:bidi w:val="0"/>
              <w:spacing w:before="0" w:after="0" w:line="205" w:lineRule="exact"/>
              <w:ind w:left="0" w:right="0" w:firstLine="0"/>
              <w:jc w:val="left"/>
              <w:rPr>
                <w:sz w:val="16"/>
                <w:szCs w:val="16"/>
              </w:rPr>
            </w:pPr>
            <w:r>
              <w:rPr>
                <w:color w:val="000000"/>
                <w:spacing w:val="0"/>
                <w:w w:val="100"/>
                <w:position w:val="0"/>
                <w:sz w:val="16"/>
                <w:szCs w:val="16"/>
              </w:rPr>
              <w:t>预算完成率</w:t>
            </w:r>
            <w:r>
              <w:rPr>
                <w:b/>
                <w:bCs/>
                <w:color w:val="000000"/>
                <w:spacing w:val="0"/>
                <w:w w:val="100"/>
                <w:position w:val="0"/>
                <w:sz w:val="18"/>
                <w:szCs w:val="18"/>
              </w:rPr>
              <w:t>＜70%</w:t>
            </w:r>
            <w:r>
              <w:rPr>
                <w:color w:val="000000"/>
                <w:spacing w:val="0"/>
                <w:w w:val="100"/>
                <w:position w:val="0"/>
                <w:sz w:val="16"/>
                <w:szCs w:val="16"/>
              </w:rPr>
              <w:t>的，得</w:t>
            </w:r>
            <w:r>
              <w:rPr>
                <w:b/>
                <w:bCs/>
                <w:color w:val="000000"/>
                <w:spacing w:val="0"/>
                <w:w w:val="100"/>
                <w:position w:val="0"/>
                <w:sz w:val="18"/>
                <w:szCs w:val="18"/>
              </w:rPr>
              <w:t>0</w:t>
            </w:r>
            <w:r>
              <w:rPr>
                <w:color w:val="000000"/>
                <w:spacing w:val="0"/>
                <w:w w:val="100"/>
                <w:position w:val="0"/>
                <w:sz w:val="16"/>
                <w:szCs w:val="16"/>
              </w:rPr>
              <w:t>分.</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sz w:val="15"/>
                <w:szCs w:val="15"/>
              </w:rPr>
              <w:t xml:space="preserve">预算完成率=（预算完成数/预算數） </w:t>
            </w:r>
            <w:r>
              <w:rPr>
                <w:rFonts w:hint="eastAsia" w:ascii="仿宋_GB2312" w:eastAsia="仿宋_GB2312"/>
                <w:b/>
                <w:bCs/>
                <w:sz w:val="15"/>
                <w:szCs w:val="15"/>
              </w:rPr>
              <w:t>X 100%</w:t>
            </w:r>
          </w:p>
        </w:tc>
        <w:tc>
          <w:tcPr>
            <w:tcW w:w="720" w:type="dxa"/>
            <w:tcBorders>
              <w:top w:val="single" w:color="auto" w:sz="4" w:space="0"/>
              <w:left w:val="single" w:color="auto" w:sz="4" w:space="0"/>
            </w:tcBorders>
            <w:shd w:val="clear" w:color="auto" w:fill="FFFFFF"/>
            <w:vAlign w:val="center"/>
          </w:tcPr>
          <w:p>
            <w:pPr>
              <w:pStyle w:val="12"/>
              <w:spacing w:line="209"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100%</w:t>
            </w:r>
          </w:p>
        </w:tc>
        <w:tc>
          <w:tcPr>
            <w:tcW w:w="713" w:type="dxa"/>
            <w:tcBorders>
              <w:top w:val="single" w:color="auto" w:sz="4" w:space="0"/>
              <w:left w:val="single" w:color="auto" w:sz="4" w:space="0"/>
            </w:tcBorders>
            <w:shd w:val="clear" w:color="auto" w:fill="FFFFFF"/>
            <w:vAlign w:val="center"/>
          </w:tcPr>
          <w:p>
            <w:pPr>
              <w:pStyle w:val="12"/>
              <w:spacing w:line="209"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100%</w:t>
            </w:r>
          </w:p>
        </w:tc>
        <w:tc>
          <w:tcPr>
            <w:tcBorders>
              <w:top w:val="single" w:color="auto" w:sz="4" w:space="0"/>
              <w:left w:val="single" w:color="auto" w:sz="4" w:space="0"/>
            </w:tcBorders>
            <w:shd w:val="clear" w:color="auto" w:fill="FFFFFF"/>
            <w:vAlign w:val="center"/>
          </w:tcPr>
          <w:p>
            <w:pPr>
              <w:widowControl w:val="0"/>
              <w:jc w:val="center"/>
              <w:rPr>
                <w:rFonts w:hint="default" w:eastAsia="微软雅黑"/>
                <w:sz w:val="10"/>
                <w:szCs w:val="10"/>
                <w:lang w:val="en-US" w:eastAsia="zh-CN"/>
              </w:rPr>
            </w:pPr>
            <w:r>
              <w:rPr>
                <w:rFonts w:hint="eastAsia"/>
                <w:sz w:val="10"/>
                <w:szCs w:val="10"/>
                <w:lang w:val="en-US" w:eastAsia="zh-CN"/>
              </w:rPr>
              <w:t>10</w:t>
            </w:r>
          </w:p>
        </w:tc>
        <w:tc>
          <w:tcPr>
            <w:tcBorders>
              <w:top w:val="single" w:color="auto" w:sz="4" w:space="0"/>
              <w:left w:val="single" w:color="auto" w:sz="4" w:space="0"/>
            </w:tcBorders>
            <w:shd w:val="clear" w:color="auto" w:fill="FFFFFF"/>
            <w:vAlign w:val="center"/>
          </w:tcPr>
          <w:p>
            <w:pPr>
              <w:widowControl w:val="0"/>
              <w:jc w:val="center"/>
              <w:rPr>
                <w:sz w:val="10"/>
                <w:szCs w:val="10"/>
              </w:rPr>
            </w:pPr>
          </w:p>
        </w:tc>
        <w:tc>
          <w:tcPr>
            <w:tcBorders>
              <w:top w:val="single" w:color="auto" w:sz="4" w:space="0"/>
              <w:left w:val="single" w:color="auto" w:sz="4" w:space="0"/>
              <w:right w:val="single" w:color="auto" w:sz="4" w:space="0"/>
            </w:tcBorders>
            <w:shd w:val="clear" w:color="auto" w:fill="FFFFFF"/>
            <w:vAlign w:val="center"/>
          </w:tcPr>
          <w:p>
            <w:pPr>
              <w:widowControl w:val="0"/>
              <w:jc w:val="center"/>
              <w:rPr>
                <w:sz w:val="10"/>
                <w:szCs w:val="10"/>
              </w:rPr>
            </w:pPr>
          </w:p>
        </w:tc>
      </w:tr>
      <w:tr>
        <w:tblPrEx>
          <w:tblCellMar>
            <w:top w:w="0" w:type="dxa"/>
            <w:left w:w="10" w:type="dxa"/>
            <w:bottom w:w="0" w:type="dxa"/>
            <w:right w:w="10" w:type="dxa"/>
          </w:tblCellMar>
        </w:tblPrEx>
        <w:trPr>
          <w:trHeight w:val="2182" w:hRule="exact"/>
          <w:jc w:val="center"/>
        </w:trPr>
        <w:tc>
          <w:tcPr>
            <w:vMerge w:val="continue"/>
            <w:tcBorders>
              <w:left w:val="single" w:color="auto" w:sz="4" w:space="0"/>
              <w:bottom w:val="single" w:color="auto" w:sz="4" w:space="0"/>
            </w:tcBorders>
            <w:shd w:val="clear" w:color="auto" w:fill="FFFFFF"/>
            <w:textDirection w:val="tbRlV"/>
            <w:vAlign w:val="center"/>
          </w:tcPr>
          <w:p>
            <w:pPr>
              <w:jc w:val="center"/>
            </w:pPr>
          </w:p>
        </w:tc>
        <w:tc>
          <w:tcPr>
            <w:vMerge w:val="continue"/>
            <w:tcBorders>
              <w:left w:val="single" w:color="auto" w:sz="4" w:space="0"/>
              <w:bottom w:val="single" w:color="auto" w:sz="4" w:space="0"/>
            </w:tcBorders>
            <w:shd w:val="clear" w:color="auto" w:fill="FFFFFF"/>
            <w:vAlign w:val="center"/>
          </w:tcPr>
          <w:p>
            <w:pPr>
              <w:jc w:val="center"/>
            </w:pPr>
          </w:p>
        </w:tc>
        <w:tc>
          <w:tcPr>
            <w:tcBorders>
              <w:top w:val="single" w:color="auto" w:sz="4" w:space="0"/>
              <w:left w:val="single" w:color="auto" w:sz="4" w:space="0"/>
              <w:bottom w:val="single" w:color="auto" w:sz="4" w:space="0"/>
            </w:tcBorders>
            <w:shd w:val="clear" w:color="auto" w:fill="FFFFFF"/>
            <w:vAlign w:val="center"/>
          </w:tcPr>
          <w:p>
            <w:pPr>
              <w:pStyle w:val="14"/>
              <w:keepNext w:val="0"/>
              <w:keepLines w:val="0"/>
              <w:widowControl w:val="0"/>
              <w:shd w:val="clear" w:color="auto" w:fill="auto"/>
              <w:bidi w:val="0"/>
              <w:spacing w:before="0" w:after="0" w:line="173" w:lineRule="exact"/>
              <w:ind w:left="0" w:right="0" w:firstLine="0"/>
              <w:jc w:val="center"/>
            </w:pPr>
            <w:r>
              <w:rPr>
                <w:color w:val="000000"/>
                <w:spacing w:val="0"/>
                <w:w w:val="100"/>
                <w:position w:val="0"/>
              </w:rPr>
              <w:t xml:space="preserve">算整 </w:t>
            </w:r>
            <w:r>
              <w:rPr>
                <w:b/>
                <w:bCs/>
                <w:color w:val="000000"/>
                <w:spacing w:val="0"/>
                <w:w w:val="100"/>
                <w:position w:val="0"/>
                <w:sz w:val="18"/>
                <w:szCs w:val="18"/>
              </w:rPr>
              <w:t xml:space="preserve">5 ) </w:t>
            </w:r>
            <w:r>
              <w:rPr>
                <w:color w:val="000000"/>
                <w:spacing w:val="0"/>
                <w:w w:val="100"/>
                <w:position w:val="0"/>
              </w:rPr>
              <w:t>预调率{分</w:t>
            </w:r>
          </w:p>
        </w:tc>
        <w:tc>
          <w:tcPr>
            <w:tcBorders>
              <w:top w:val="single" w:color="auto" w:sz="4" w:space="0"/>
              <w:left w:val="single" w:color="auto" w:sz="4" w:space="0"/>
              <w:bottom w:val="single" w:color="auto" w:sz="4" w:space="0"/>
            </w:tcBorders>
            <w:shd w:val="clear" w:color="auto" w:fill="FFFFFF"/>
            <w:textDirection w:val="tbRlV"/>
            <w:vAlign w:val="center"/>
          </w:tcPr>
          <w:p>
            <w:pPr>
              <w:pStyle w:val="14"/>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5</w:t>
            </w:r>
          </w:p>
        </w:tc>
        <w:tc>
          <w:tcPr>
            <w:tcBorders>
              <w:top w:val="single" w:color="auto" w:sz="4" w:space="0"/>
              <w:left w:val="single" w:color="auto" w:sz="4" w:space="0"/>
              <w:bottom w:val="single" w:color="auto" w:sz="4" w:space="0"/>
            </w:tcBorders>
            <w:shd w:val="clear" w:color="auto" w:fill="FFFFFF"/>
            <w:vAlign w:val="top"/>
          </w:tcPr>
          <w:p>
            <w:pPr>
              <w:pStyle w:val="12"/>
              <w:keepNext w:val="0"/>
              <w:keepLines w:val="0"/>
              <w:widowControl w:val="0"/>
              <w:shd w:val="clear" w:color="auto" w:fill="auto"/>
              <w:bidi w:val="0"/>
              <w:spacing w:before="0" w:after="0" w:line="208" w:lineRule="exact"/>
              <w:ind w:left="0" w:right="0" w:firstLine="0"/>
              <w:jc w:val="left"/>
              <w:rPr>
                <w:sz w:val="16"/>
                <w:szCs w:val="16"/>
              </w:rPr>
            </w:pPr>
            <w:r>
              <w:rPr>
                <w:color w:val="000000"/>
                <w:spacing w:val="0"/>
                <w:w w:val="100"/>
                <w:position w:val="0"/>
                <w:sz w:val="16"/>
                <w:szCs w:val="16"/>
              </w:rPr>
              <w:t xml:space="preserve">预算调終率-（预算调整数/预算数） </w:t>
            </w:r>
            <w:r>
              <w:rPr>
                <w:b/>
                <w:bCs/>
                <w:color w:val="000000"/>
                <w:spacing w:val="0"/>
                <w:w w:val="100"/>
                <w:position w:val="0"/>
                <w:sz w:val="18"/>
                <w:szCs w:val="18"/>
                <w:lang w:val="en-US" w:eastAsia="en-US" w:bidi="en-US"/>
              </w:rPr>
              <w:t>X100%,</w:t>
            </w:r>
            <w:r>
              <w:rPr>
                <w:color w:val="000000"/>
                <w:spacing w:val="0"/>
                <w:w w:val="100"/>
                <w:position w:val="0"/>
                <w:sz w:val="16"/>
                <w:szCs w:val="16"/>
              </w:rPr>
              <w:t>用以反映和考核部门（单位） 预算的调整程度。</w:t>
            </w:r>
          </w:p>
          <w:p>
            <w:pPr>
              <w:pStyle w:val="12"/>
              <w:keepNext w:val="0"/>
              <w:keepLines w:val="0"/>
              <w:widowControl w:val="0"/>
              <w:shd w:val="clear" w:color="auto" w:fill="auto"/>
              <w:bidi w:val="0"/>
              <w:spacing w:before="0" w:after="0" w:line="208" w:lineRule="exact"/>
              <w:ind w:left="0" w:right="0" w:firstLine="0"/>
              <w:jc w:val="both"/>
              <w:rPr>
                <w:sz w:val="16"/>
                <w:szCs w:val="16"/>
              </w:rPr>
            </w:pPr>
            <w:r>
              <w:rPr>
                <w:color w:val="000000"/>
                <w:spacing w:val="0"/>
                <w:w w:val="100"/>
                <w:position w:val="0"/>
                <w:sz w:val="16"/>
                <w:szCs w:val="16"/>
              </w:rPr>
              <w:t>预算调整数：部门（单位）在本年度内 涉及预算的追加、追减或结构调整的资 金总和（因落实国家政策、发生不可抗 力、上级部门或本级党委政府临时交办 而产生的调整除外）</w:t>
            </w:r>
            <w:r>
              <w:rPr>
                <w:color w:val="000000"/>
                <w:spacing w:val="0"/>
                <w:w w:val="100"/>
                <w:position w:val="0"/>
                <w:sz w:val="16"/>
                <w:szCs w:val="16"/>
                <w:lang w:val="en-US" w:eastAsia="en-US" w:bidi="en-US"/>
              </w:rPr>
              <w:t>.</w:t>
            </w:r>
          </w:p>
          <w:p>
            <w:pPr>
              <w:pStyle w:val="12"/>
              <w:keepNext w:val="0"/>
              <w:keepLines w:val="0"/>
              <w:widowControl w:val="0"/>
              <w:shd w:val="clear" w:color="auto" w:fill="auto"/>
              <w:bidi w:val="0"/>
              <w:spacing w:before="0" w:after="0" w:line="208" w:lineRule="exact"/>
              <w:ind w:left="0" w:right="0" w:firstLine="0"/>
              <w:jc w:val="both"/>
              <w:rPr>
                <w:sz w:val="16"/>
                <w:szCs w:val="16"/>
              </w:rPr>
            </w:pPr>
            <w:r>
              <w:rPr>
                <w:color w:val="000000"/>
                <w:spacing w:val="0"/>
                <w:w w:val="100"/>
                <w:position w:val="0"/>
                <w:sz w:val="16"/>
                <w:szCs w:val="16"/>
              </w:rPr>
              <w:t>预算包括一般公共预算与政府，性基金预 算.</w:t>
            </w:r>
          </w:p>
        </w:tc>
        <w:tc>
          <w:tcPr>
            <w:tcBorders>
              <w:top w:val="single" w:color="auto" w:sz="4" w:space="0"/>
              <w:left w:val="single" w:color="auto" w:sz="4" w:space="0"/>
              <w:bottom w:val="single" w:color="auto" w:sz="4" w:space="0"/>
            </w:tcBorders>
            <w:shd w:val="clear" w:color="auto" w:fill="FFFFFF"/>
            <w:vAlign w:val="center"/>
          </w:tcPr>
          <w:p>
            <w:pPr>
              <w:pStyle w:val="12"/>
              <w:keepNext w:val="0"/>
              <w:keepLines w:val="0"/>
              <w:widowControl w:val="0"/>
              <w:shd w:val="clear" w:color="auto" w:fill="auto"/>
              <w:bidi w:val="0"/>
              <w:spacing w:before="0" w:after="0" w:line="286" w:lineRule="exact"/>
              <w:ind w:left="0" w:right="0" w:firstLine="0"/>
              <w:jc w:val="left"/>
              <w:rPr>
                <w:sz w:val="16"/>
                <w:szCs w:val="16"/>
              </w:rPr>
            </w:pPr>
            <w:r>
              <w:rPr>
                <w:color w:val="000000"/>
                <w:spacing w:val="0"/>
                <w:w w:val="100"/>
                <w:position w:val="0"/>
                <w:sz w:val="16"/>
                <w:szCs w:val="16"/>
              </w:rPr>
              <w:t>预算调整率绝对值</w:t>
            </w:r>
            <w:r>
              <w:rPr>
                <w:b/>
                <w:bCs/>
                <w:color w:val="000000"/>
                <w:spacing w:val="0"/>
                <w:w w:val="100"/>
                <w:position w:val="0"/>
                <w:sz w:val="18"/>
                <w:szCs w:val="18"/>
              </w:rPr>
              <w:t>＜5%,</w:t>
            </w:r>
            <w:r>
              <w:rPr>
                <w:color w:val="000000"/>
                <w:spacing w:val="0"/>
                <w:w w:val="100"/>
                <w:position w:val="0"/>
                <w:sz w:val="16"/>
                <w:szCs w:val="16"/>
              </w:rPr>
              <w:t>得</w:t>
            </w:r>
            <w:r>
              <w:rPr>
                <w:b/>
                <w:bCs/>
                <w:color w:val="000000"/>
                <w:spacing w:val="0"/>
                <w:w w:val="100"/>
                <w:position w:val="0"/>
                <w:sz w:val="18"/>
                <w:szCs w:val="18"/>
              </w:rPr>
              <w:t>5</w:t>
            </w:r>
            <w:r>
              <w:rPr>
                <w:color w:val="000000"/>
                <w:spacing w:val="0"/>
                <w:w w:val="100"/>
                <w:position w:val="0"/>
                <w:sz w:val="16"/>
                <w:szCs w:val="16"/>
              </w:rPr>
              <w:t>分 制算调整率绝对值</w:t>
            </w:r>
            <w:r>
              <w:rPr>
                <w:b/>
                <w:bCs/>
                <w:color w:val="000000"/>
                <w:spacing w:val="0"/>
                <w:w w:val="100"/>
                <w:position w:val="0"/>
                <w:sz w:val="18"/>
                <w:szCs w:val="18"/>
              </w:rPr>
              <w:t>＞5%</w:t>
            </w:r>
            <w:r>
              <w:rPr>
                <w:color w:val="000000"/>
                <w:spacing w:val="0"/>
                <w:w w:val="100"/>
                <w:position w:val="0"/>
                <w:sz w:val="16"/>
                <w:szCs w:val="16"/>
              </w:rPr>
              <w:t>的，每增 加</w:t>
            </w:r>
            <w:r>
              <w:rPr>
                <w:b/>
                <w:bCs/>
                <w:color w:val="000000"/>
                <w:spacing w:val="0"/>
                <w:w w:val="100"/>
                <w:position w:val="0"/>
                <w:sz w:val="18"/>
                <w:szCs w:val="18"/>
                <w:lang w:val="en-US" w:eastAsia="en-US" w:bidi="en-US"/>
              </w:rPr>
              <w:t xml:space="preserve">0. </w:t>
            </w:r>
            <w:r>
              <w:rPr>
                <w:b/>
                <w:bCs/>
                <w:color w:val="000000"/>
                <w:spacing w:val="0"/>
                <w:w w:val="100"/>
                <w:position w:val="0"/>
                <w:sz w:val="18"/>
                <w:szCs w:val="18"/>
              </w:rPr>
              <w:t>1</w:t>
            </w:r>
            <w:r>
              <w:rPr>
                <w:color w:val="000000"/>
                <w:spacing w:val="0"/>
                <w:w w:val="100"/>
                <w:position w:val="0"/>
                <w:sz w:val="16"/>
                <w:szCs w:val="16"/>
              </w:rPr>
              <w:t>个百分点扣</w:t>
            </w:r>
            <w:r>
              <w:rPr>
                <w:b/>
                <w:bCs/>
                <w:color w:val="000000"/>
                <w:spacing w:val="0"/>
                <w:w w:val="100"/>
                <w:position w:val="0"/>
                <w:sz w:val="18"/>
                <w:szCs w:val="18"/>
                <w:lang w:val="en-US" w:eastAsia="en-US" w:bidi="en-US"/>
              </w:rPr>
              <w:t xml:space="preserve">0. </w:t>
            </w:r>
            <w:r>
              <w:rPr>
                <w:b/>
                <w:bCs/>
                <w:color w:val="000000"/>
                <w:spacing w:val="0"/>
                <w:w w:val="100"/>
                <w:position w:val="0"/>
                <w:sz w:val="18"/>
                <w:szCs w:val="18"/>
              </w:rPr>
              <w:t>1</w:t>
            </w:r>
            <w:r>
              <w:rPr>
                <w:color w:val="000000"/>
                <w:spacing w:val="0"/>
                <w:w w:val="100"/>
                <w:position w:val="0"/>
                <w:sz w:val="16"/>
                <w:szCs w:val="16"/>
              </w:rPr>
              <w:t>分，扣完为 止.</w:t>
            </w:r>
          </w:p>
        </w:tc>
        <w:tc>
          <w:tcPr>
            <w:tcBorders>
              <w:top w:val="single" w:color="auto" w:sz="4" w:space="0"/>
              <w:left w:val="single" w:color="auto" w:sz="4" w:space="0"/>
              <w:bottom w:val="single" w:color="auto" w:sz="4" w:space="0"/>
            </w:tcBorders>
            <w:shd w:val="clear" w:color="auto" w:fill="FFFFFF"/>
            <w:vAlign w:val="center"/>
          </w:tcPr>
          <w:p>
            <w:pPr>
              <w:widowControl w:val="0"/>
              <w:jc w:val="center"/>
              <w:rPr>
                <w:sz w:val="10"/>
                <w:szCs w:val="10"/>
              </w:rPr>
            </w:pPr>
            <w:r>
              <w:rPr>
                <w:rFonts w:hint="eastAsia" w:ascii="仿宋_GB2312" w:eastAsia="仿宋_GB2312"/>
                <w:sz w:val="15"/>
                <w:szCs w:val="15"/>
              </w:rPr>
              <w:t>预算</w:t>
            </w:r>
            <w:r>
              <w:rPr>
                <w:rFonts w:hint="eastAsia" w:ascii="仿宋_GB2312" w:eastAsia="仿宋_GB2312"/>
                <w:sz w:val="15"/>
                <w:szCs w:val="15"/>
                <w:lang w:eastAsia="zh-CN"/>
              </w:rPr>
              <w:t>调整</w:t>
            </w:r>
            <w:r>
              <w:rPr>
                <w:rFonts w:hint="eastAsia" w:ascii="仿宋_GB2312" w:hAnsi="仿宋_GB2312" w:eastAsia="仿宋_GB2312" w:cs="仿宋_GB2312"/>
                <w:sz w:val="15"/>
                <w:szCs w:val="15"/>
              </w:rPr>
              <w:t>率</w:t>
            </w:r>
            <w:r>
              <w:rPr>
                <w:rFonts w:hint="eastAsia" w:ascii="仿宋_GB2312" w:eastAsia="仿宋_GB2312"/>
                <w:sz w:val="15"/>
                <w:szCs w:val="15"/>
                <w:lang w:eastAsia="zh-CN"/>
              </w:rPr>
              <w:t>=</w:t>
            </w:r>
            <w:r>
              <w:rPr>
                <w:rFonts w:hint="eastAsia" w:ascii="仿宋_GB2312" w:eastAsia="仿宋_GB2312"/>
                <w:sz w:val="15"/>
                <w:szCs w:val="15"/>
              </w:rPr>
              <w:t xml:space="preserve">（预算调整数/预算数） </w:t>
            </w:r>
            <w:r>
              <w:rPr>
                <w:rFonts w:hint="eastAsia" w:ascii="仿宋_GB2312" w:eastAsia="仿宋_GB2312"/>
                <w:b/>
                <w:bCs/>
                <w:sz w:val="15"/>
                <w:szCs w:val="15"/>
                <w:lang w:val="en-US" w:eastAsia="zh-CN" w:bidi="en-US"/>
              </w:rPr>
              <w:t>X100%,</w:t>
            </w:r>
          </w:p>
        </w:tc>
        <w:tc>
          <w:tcPr>
            <w:tcW w:w="720" w:type="dxa"/>
            <w:tcBorders>
              <w:top w:val="single" w:color="auto" w:sz="4" w:space="0"/>
              <w:left w:val="single" w:color="auto" w:sz="4" w:space="0"/>
              <w:bottom w:val="single" w:color="auto" w:sz="4" w:space="0"/>
            </w:tcBorders>
            <w:shd w:val="clear" w:color="auto" w:fill="FFFFFF"/>
            <w:vAlign w:val="center"/>
          </w:tcPr>
          <w:p>
            <w:pPr>
              <w:pStyle w:val="12"/>
              <w:spacing w:line="209"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b/>
                <w:bCs/>
                <w:sz w:val="15"/>
                <w:szCs w:val="15"/>
              </w:rPr>
              <w:t>＜5%</w:t>
            </w:r>
          </w:p>
        </w:tc>
        <w:tc>
          <w:tcPr>
            <w:tcW w:w="713" w:type="dxa"/>
            <w:tcBorders>
              <w:top w:val="single" w:color="auto" w:sz="4" w:space="0"/>
              <w:left w:val="single" w:color="auto" w:sz="4" w:space="0"/>
              <w:bottom w:val="single" w:color="auto" w:sz="4" w:space="0"/>
            </w:tcBorders>
            <w:shd w:val="clear" w:color="auto" w:fill="FFFFFF"/>
            <w:vAlign w:val="center"/>
          </w:tcPr>
          <w:p>
            <w:pPr>
              <w:pStyle w:val="12"/>
              <w:spacing w:line="209"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100%</w:t>
            </w:r>
          </w:p>
        </w:tc>
        <w:tc>
          <w:tcPr>
            <w:tcBorders>
              <w:top w:val="single" w:color="auto" w:sz="4" w:space="0"/>
              <w:left w:val="single" w:color="auto" w:sz="4" w:space="0"/>
              <w:bottom w:val="single" w:color="auto" w:sz="4" w:space="0"/>
            </w:tcBorders>
            <w:shd w:val="clear" w:color="auto" w:fill="FFFFFF"/>
            <w:vAlign w:val="center"/>
          </w:tcPr>
          <w:p>
            <w:pPr>
              <w:widowControl w:val="0"/>
              <w:jc w:val="center"/>
              <w:rPr>
                <w:rFonts w:hint="default" w:eastAsia="微软雅黑"/>
                <w:sz w:val="10"/>
                <w:szCs w:val="10"/>
                <w:lang w:val="en-US" w:eastAsia="zh-CN"/>
              </w:rPr>
            </w:pPr>
            <w:r>
              <w:rPr>
                <w:rFonts w:hint="eastAsia"/>
                <w:sz w:val="10"/>
                <w:szCs w:val="10"/>
                <w:lang w:val="en-US" w:eastAsia="zh-CN"/>
              </w:rPr>
              <w:t>5</w:t>
            </w:r>
          </w:p>
        </w:tc>
        <w:tc>
          <w:tcPr>
            <w:tcBorders>
              <w:top w:val="single" w:color="auto" w:sz="4" w:space="0"/>
              <w:left w:val="single" w:color="auto" w:sz="4" w:space="0"/>
              <w:bottom w:val="single" w:color="auto" w:sz="4" w:space="0"/>
            </w:tcBorders>
            <w:shd w:val="clear" w:color="auto" w:fill="FFFFFF"/>
            <w:vAlign w:val="center"/>
          </w:tcPr>
          <w:p>
            <w:pPr>
              <w:widowControl w:val="0"/>
              <w:jc w:val="center"/>
              <w:rPr>
                <w:sz w:val="10"/>
                <w:szCs w:val="10"/>
              </w:rPr>
            </w:pPr>
          </w:p>
        </w:tc>
        <w:tc>
          <w:tcPr>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sz w:val="10"/>
                <w:szCs w:val="10"/>
              </w:rPr>
            </w:pPr>
          </w:p>
        </w:tc>
      </w:tr>
    </w:tbl>
    <w:p>
      <w:pPr>
        <w:spacing w:line="1" w:lineRule="exact"/>
        <w:rPr>
          <w:sz w:val="2"/>
          <w:szCs w:val="2"/>
        </w:rPr>
      </w:pPr>
      <w:r>
        <w:br w:type="page"/>
      </w:r>
    </w:p>
    <w:tbl>
      <w:tblPr>
        <w:tblStyle w:val="9"/>
        <w:tblW w:w="0" w:type="auto"/>
        <w:jc w:val="center"/>
        <w:tblLayout w:type="fixed"/>
        <w:tblCellMar>
          <w:top w:w="0" w:type="dxa"/>
          <w:left w:w="10" w:type="dxa"/>
          <w:bottom w:w="0" w:type="dxa"/>
          <w:right w:w="10" w:type="dxa"/>
        </w:tblCellMar>
      </w:tblPr>
      <w:tblGrid>
        <w:gridCol w:w="511"/>
        <w:gridCol w:w="634"/>
        <w:gridCol w:w="497"/>
        <w:gridCol w:w="331"/>
        <w:gridCol w:w="3298"/>
        <w:gridCol w:w="2642"/>
        <w:gridCol w:w="1066"/>
        <w:gridCol w:w="713"/>
        <w:gridCol w:w="720"/>
        <w:gridCol w:w="576"/>
        <w:gridCol w:w="1555"/>
        <w:gridCol w:w="1447"/>
      </w:tblGrid>
      <w:tr>
        <w:tblPrEx>
          <w:tblCellMar>
            <w:top w:w="0" w:type="dxa"/>
            <w:left w:w="10" w:type="dxa"/>
            <w:bottom w:w="0" w:type="dxa"/>
            <w:right w:w="10" w:type="dxa"/>
          </w:tblCellMar>
        </w:tblPrEx>
        <w:trPr>
          <w:trHeight w:val="878" w:hRule="exact"/>
          <w:jc w:val="center"/>
        </w:trPr>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30" w:lineRule="exact"/>
              <w:ind w:left="0" w:right="0" w:firstLine="0"/>
              <w:jc w:val="left"/>
              <w:rPr>
                <w:sz w:val="16"/>
                <w:szCs w:val="16"/>
              </w:rPr>
            </w:pPr>
            <w:r>
              <w:rPr>
                <w:color w:val="000000"/>
                <w:spacing w:val="0"/>
                <w:w w:val="100"/>
                <w:position w:val="0"/>
                <w:sz w:val="16"/>
                <w:szCs w:val="16"/>
              </w:rPr>
              <w:t>一级 指标</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30" w:lineRule="exact"/>
              <w:ind w:left="0" w:right="0" w:firstLine="0"/>
              <w:jc w:val="both"/>
              <w:rPr>
                <w:sz w:val="16"/>
                <w:szCs w:val="16"/>
              </w:rPr>
            </w:pPr>
            <w:r>
              <w:rPr>
                <w:color w:val="000000"/>
                <w:spacing w:val="0"/>
                <w:w w:val="100"/>
                <w:position w:val="0"/>
                <w:sz w:val="16"/>
                <w:szCs w:val="16"/>
              </w:rPr>
              <w:t>二级 指标</w:t>
            </w:r>
          </w:p>
        </w:tc>
        <w:tc>
          <w:tcPr>
            <w:tcBorders>
              <w:top w:val="single" w:color="auto" w:sz="4" w:space="0"/>
              <w:left w:val="single" w:color="auto" w:sz="4" w:space="0"/>
            </w:tcBorders>
            <w:shd w:val="clear" w:color="auto" w:fill="FFFFFF"/>
            <w:textDirection w:val="tbRlV"/>
            <w:vAlign w:val="bottom"/>
          </w:tcPr>
          <w:p>
            <w:pPr>
              <w:pStyle w:val="14"/>
              <w:keepNext w:val="0"/>
              <w:keepLines w:val="0"/>
              <w:widowControl w:val="0"/>
              <w:shd w:val="clear" w:color="auto" w:fill="auto"/>
              <w:bidi w:val="0"/>
              <w:spacing w:before="0" w:after="0" w:line="180" w:lineRule="exact"/>
              <w:ind w:left="0" w:right="0" w:firstLine="0"/>
              <w:jc w:val="center"/>
              <w:rPr>
                <w:sz w:val="17"/>
                <w:szCs w:val="17"/>
              </w:rPr>
            </w:pPr>
            <w:r>
              <w:rPr>
                <w:color w:val="000000"/>
                <w:spacing w:val="0"/>
                <w:w w:val="100"/>
                <w:position w:val="0"/>
                <w:sz w:val="17"/>
                <w:szCs w:val="17"/>
              </w:rPr>
              <w:t>级标 三指</w:t>
            </w:r>
          </w:p>
        </w:tc>
        <w:tc>
          <w:tcPr>
            <w:tcBorders>
              <w:top w:val="single" w:color="auto" w:sz="4" w:space="0"/>
              <w:left w:val="single" w:color="auto" w:sz="4" w:space="0"/>
            </w:tcBorders>
            <w:shd w:val="clear" w:color="auto" w:fill="FFFFFF"/>
            <w:textDirection w:val="tbRlV"/>
            <w:vAlign w:val="bottom"/>
          </w:tcPr>
          <w:p>
            <w:pPr>
              <w:pStyle w:val="14"/>
              <w:keepNext w:val="0"/>
              <w:keepLines w:val="0"/>
              <w:widowControl w:val="0"/>
              <w:shd w:val="clear" w:color="auto" w:fill="auto"/>
              <w:bidi w:val="0"/>
              <w:spacing w:before="0" w:after="0" w:line="240" w:lineRule="auto"/>
              <w:ind w:left="0" w:right="0" w:firstLine="240"/>
              <w:jc w:val="left"/>
              <w:rPr>
                <w:sz w:val="17"/>
                <w:szCs w:val="17"/>
              </w:rPr>
            </w:pPr>
            <w:r>
              <w:rPr>
                <w:color w:val="000000"/>
                <w:spacing w:val="0"/>
                <w:w w:val="100"/>
                <w:position w:val="0"/>
                <w:sz w:val="17"/>
                <w:szCs w:val="17"/>
              </w:rPr>
              <w:t>分值</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指标说明</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评分标准</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16" w:lineRule="exact"/>
              <w:ind w:left="0" w:right="0" w:firstLine="0"/>
              <w:jc w:val="left"/>
              <w:rPr>
                <w:sz w:val="16"/>
                <w:szCs w:val="16"/>
              </w:rPr>
            </w:pPr>
            <w:r>
              <w:rPr>
                <w:color w:val="000000"/>
                <w:spacing w:val="0"/>
                <w:w w:val="100"/>
                <w:position w:val="0"/>
                <w:sz w:val="16"/>
                <w:szCs w:val="16"/>
              </w:rPr>
              <w:t>指标值计算 公式和数据 获取方式</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23" w:lineRule="exact"/>
              <w:ind w:left="0" w:right="0" w:firstLine="0"/>
              <w:jc w:val="center"/>
              <w:rPr>
                <w:sz w:val="16"/>
                <w:szCs w:val="16"/>
              </w:rPr>
            </w:pPr>
            <w:r>
              <w:rPr>
                <w:color w:val="000000"/>
                <w:spacing w:val="0"/>
                <w:w w:val="100"/>
                <w:position w:val="0"/>
                <w:sz w:val="16"/>
                <w:szCs w:val="16"/>
              </w:rPr>
              <w:t>年初目 标值</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16" w:lineRule="exact"/>
              <w:ind w:left="0" w:right="0" w:firstLine="0"/>
              <w:jc w:val="center"/>
              <w:rPr>
                <w:sz w:val="16"/>
                <w:szCs w:val="16"/>
              </w:rPr>
            </w:pPr>
            <w:r>
              <w:rPr>
                <w:color w:val="000000"/>
                <w:spacing w:val="0"/>
                <w:w w:val="100"/>
                <w:position w:val="0"/>
                <w:sz w:val="16"/>
                <w:szCs w:val="16"/>
              </w:rPr>
              <w:t>实际完 成值</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40" w:lineRule="auto"/>
              <w:ind w:left="0" w:right="0" w:firstLine="0"/>
              <w:jc w:val="right"/>
              <w:rPr>
                <w:sz w:val="16"/>
                <w:szCs w:val="16"/>
              </w:rPr>
            </w:pPr>
            <w:r>
              <w:rPr>
                <w:color w:val="000000"/>
                <w:spacing w:val="0"/>
                <w:w w:val="100"/>
                <w:position w:val="0"/>
                <w:sz w:val="16"/>
                <w:szCs w:val="16"/>
              </w:rPr>
              <w:t>得分</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23" w:lineRule="exact"/>
              <w:ind w:left="0" w:right="0" w:firstLine="0"/>
              <w:jc w:val="center"/>
              <w:rPr>
                <w:sz w:val="16"/>
                <w:szCs w:val="16"/>
              </w:rPr>
            </w:pPr>
            <w:r>
              <w:rPr>
                <w:color w:val="000000"/>
                <w:spacing w:val="0"/>
                <w:w w:val="100"/>
                <w:position w:val="0"/>
                <w:sz w:val="16"/>
                <w:szCs w:val="16"/>
              </w:rPr>
              <w:t>未完成原因分析 与改进措施</w:t>
            </w:r>
          </w:p>
        </w:tc>
        <w:tc>
          <w:tcPr>
            <w:tcBorders>
              <w:top w:val="single" w:color="auto" w:sz="4" w:space="0"/>
              <w:left w:val="single" w:color="auto" w:sz="4" w:space="0"/>
              <w:right w:val="single" w:color="auto" w:sz="4" w:space="0"/>
            </w:tcBorders>
            <w:shd w:val="clear" w:color="auto" w:fill="FFFFFF"/>
            <w:vAlign w:val="center"/>
          </w:tcPr>
          <w:p>
            <w:pPr>
              <w:pStyle w:val="12"/>
              <w:keepNext w:val="0"/>
              <w:keepLines w:val="0"/>
              <w:widowControl w:val="0"/>
              <w:shd w:val="clear" w:color="auto" w:fill="auto"/>
              <w:bidi w:val="0"/>
              <w:spacing w:before="0" w:after="0" w:line="216" w:lineRule="exact"/>
              <w:ind w:left="0" w:right="0" w:firstLine="0"/>
              <w:jc w:val="center"/>
              <w:rPr>
                <w:sz w:val="16"/>
                <w:szCs w:val="16"/>
              </w:rPr>
            </w:pPr>
            <w:r>
              <w:rPr>
                <w:color w:val="000000"/>
                <w:spacing w:val="0"/>
                <w:w w:val="100"/>
                <w:position w:val="0"/>
                <w:sz w:val="16"/>
                <w:szCs w:val="16"/>
              </w:rPr>
              <w:t>绩效指标分析 与建议</w:t>
            </w:r>
          </w:p>
        </w:tc>
      </w:tr>
      <w:tr>
        <w:tblPrEx>
          <w:tblCellMar>
            <w:top w:w="0" w:type="dxa"/>
            <w:left w:w="10" w:type="dxa"/>
            <w:bottom w:w="0" w:type="dxa"/>
            <w:right w:w="10" w:type="dxa"/>
          </w:tblCellMar>
        </w:tblPrEx>
        <w:trPr>
          <w:trHeight w:val="1944" w:hRule="exact"/>
          <w:jc w:val="center"/>
        </w:trPr>
        <w:tc>
          <w:tcPr>
            <w:vMerge w:val="restart"/>
            <w:tcBorders>
              <w:top w:val="single" w:color="auto" w:sz="4" w:space="0"/>
              <w:left w:val="single" w:color="auto" w:sz="4" w:space="0"/>
            </w:tcBorders>
            <w:shd w:val="clear" w:color="auto" w:fill="FFFFFF"/>
            <w:vAlign w:val="center"/>
          </w:tcPr>
          <w:p>
            <w:pPr>
              <w:pStyle w:val="1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投入</w:t>
            </w:r>
          </w:p>
        </w:tc>
        <w:tc>
          <w:tcPr>
            <w:vMerge w:val="restart"/>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05" w:lineRule="exact"/>
              <w:ind w:left="0" w:right="0" w:firstLine="0"/>
              <w:jc w:val="center"/>
              <w:rPr>
                <w:sz w:val="16"/>
                <w:szCs w:val="16"/>
              </w:rPr>
            </w:pPr>
            <w:r>
              <w:rPr>
                <w:color w:val="000000"/>
                <w:spacing w:val="0"/>
                <w:w w:val="100"/>
                <w:position w:val="0"/>
                <w:sz w:val="16"/>
                <w:szCs w:val="16"/>
              </w:rPr>
              <w:t>预算执 行</w:t>
            </w:r>
            <w:r>
              <w:rPr>
                <w:b/>
                <w:bCs/>
                <w:color w:val="000000"/>
                <w:spacing w:val="0"/>
                <w:w w:val="100"/>
                <w:position w:val="0"/>
                <w:sz w:val="18"/>
                <w:szCs w:val="18"/>
              </w:rPr>
              <w:t xml:space="preserve">（25 </w:t>
            </w:r>
            <w:r>
              <w:rPr>
                <w:color w:val="000000"/>
                <w:spacing w:val="0"/>
                <w:w w:val="100"/>
                <w:position w:val="0"/>
                <w:sz w:val="16"/>
                <w:szCs w:val="16"/>
              </w:rPr>
              <w:t>分）</w:t>
            </w:r>
          </w:p>
        </w:tc>
        <w:tc>
          <w:tcPr>
            <w:tcBorders>
              <w:top w:val="single" w:color="auto" w:sz="4" w:space="0"/>
              <w:left w:val="single" w:color="auto" w:sz="4" w:space="0"/>
            </w:tcBorders>
            <w:shd w:val="clear" w:color="auto" w:fill="FFFFFF"/>
            <w:vAlign w:val="center"/>
          </w:tcPr>
          <w:p>
            <w:pPr>
              <w:pStyle w:val="14"/>
              <w:keepNext w:val="0"/>
              <w:keepLines w:val="0"/>
              <w:widowControl w:val="0"/>
              <w:shd w:val="clear" w:color="auto" w:fill="auto"/>
              <w:bidi w:val="0"/>
              <w:spacing w:before="0" w:after="0" w:line="187" w:lineRule="exact"/>
              <w:ind w:left="0" w:right="0" w:firstLine="0"/>
              <w:jc w:val="center"/>
            </w:pPr>
            <w:r>
              <w:rPr>
                <w:color w:val="000000"/>
                <w:spacing w:val="0"/>
                <w:w w:val="100"/>
                <w:position w:val="0"/>
              </w:rPr>
              <w:t xml:space="preserve">出度 </w:t>
            </w:r>
            <w:r>
              <w:rPr>
                <w:b/>
                <w:bCs/>
                <w:color w:val="000000"/>
                <w:spacing w:val="0"/>
                <w:w w:val="100"/>
                <w:position w:val="0"/>
                <w:sz w:val="18"/>
                <w:szCs w:val="18"/>
              </w:rPr>
              <w:t xml:space="preserve">5 ) </w:t>
            </w:r>
            <w:r>
              <w:rPr>
                <w:color w:val="000000"/>
                <w:spacing w:val="0"/>
                <w:w w:val="100"/>
                <w:position w:val="0"/>
              </w:rPr>
              <w:t xml:space="preserve">支进率 </w:t>
            </w:r>
            <w:r>
              <w:rPr>
                <w:color w:val="000000"/>
                <w:spacing w:val="0"/>
                <w:w w:val="100"/>
                <w:position w:val="0"/>
                <w:u w:val="single"/>
              </w:rPr>
              <w:t>&lt; 分 一</w:t>
            </w:r>
          </w:p>
        </w:tc>
        <w:tc>
          <w:tcPr>
            <w:tcBorders>
              <w:top w:val="single" w:color="auto" w:sz="4" w:space="0"/>
              <w:left w:val="single" w:color="auto" w:sz="4" w:space="0"/>
            </w:tcBorders>
            <w:shd w:val="clear" w:color="auto" w:fill="FFFFFF"/>
            <w:vAlign w:val="center"/>
          </w:tcPr>
          <w:p>
            <w:pPr>
              <w:pStyle w:val="14"/>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5</w:t>
            </w:r>
          </w:p>
        </w:tc>
        <w:tc>
          <w:tcPr>
            <w:tcBorders>
              <w:top w:val="single" w:color="auto" w:sz="4" w:space="0"/>
              <w:left w:val="single" w:color="auto" w:sz="4" w:space="0"/>
            </w:tcBorders>
            <w:shd w:val="clear" w:color="auto" w:fill="FFFFFF"/>
            <w:vAlign w:val="top"/>
          </w:tcPr>
          <w:p>
            <w:pPr>
              <w:pStyle w:val="12"/>
              <w:keepNext w:val="0"/>
              <w:keepLines w:val="0"/>
              <w:widowControl w:val="0"/>
              <w:shd w:val="clear" w:color="auto" w:fill="auto"/>
              <w:bidi w:val="0"/>
              <w:spacing w:before="0" w:after="0" w:line="208" w:lineRule="exact"/>
              <w:ind w:left="0" w:right="0" w:firstLine="0"/>
              <w:jc w:val="left"/>
              <w:rPr>
                <w:sz w:val="16"/>
                <w:szCs w:val="16"/>
              </w:rPr>
            </w:pPr>
            <w:r>
              <w:rPr>
                <w:color w:val="000000"/>
                <w:spacing w:val="0"/>
                <w:w w:val="100"/>
                <w:position w:val="0"/>
                <w:sz w:val="16"/>
                <w:szCs w:val="16"/>
              </w:rPr>
              <w:t>支出进</w:t>
            </w:r>
            <w:r>
              <w:rPr>
                <w:color w:val="000000"/>
                <w:spacing w:val="0"/>
                <w:w w:val="100"/>
                <w:position w:val="0"/>
                <w:sz w:val="16"/>
                <w:szCs w:val="16"/>
                <w:lang w:val="zh-CN" w:eastAsia="zh-CN" w:bidi="zh-CN"/>
              </w:rPr>
              <w:t>度率。</w:t>
            </w:r>
            <w:r>
              <w:rPr>
                <w:color w:val="000000"/>
                <w:spacing w:val="0"/>
                <w:w w:val="100"/>
                <w:position w:val="0"/>
                <w:sz w:val="16"/>
                <w:szCs w:val="16"/>
              </w:rPr>
              <w:t xml:space="preserve">（实际支出/支出预算） </w:t>
            </w:r>
            <w:r>
              <w:rPr>
                <w:b/>
                <w:bCs/>
                <w:color w:val="000000"/>
                <w:spacing w:val="0"/>
                <w:w w:val="100"/>
                <w:position w:val="0"/>
                <w:sz w:val="18"/>
                <w:szCs w:val="18"/>
              </w:rPr>
              <w:t>X 100%,</w:t>
            </w:r>
            <w:r>
              <w:rPr>
                <w:color w:val="000000"/>
                <w:spacing w:val="0"/>
                <w:w w:val="100"/>
                <w:position w:val="0"/>
                <w:sz w:val="16"/>
                <w:szCs w:val="16"/>
              </w:rPr>
              <w:t>用以反映和考核部门（单位） 预算执行的及时性和均衡性程度. 半年支出进度=部门上半年实际支出/</w:t>
            </w:r>
          </w:p>
          <w:p>
            <w:pPr>
              <w:pStyle w:val="12"/>
              <w:keepNext w:val="0"/>
              <w:keepLines w:val="0"/>
              <w:widowControl w:val="0"/>
              <w:shd w:val="clear" w:color="auto" w:fill="auto"/>
              <w:bidi w:val="0"/>
              <w:spacing w:before="0" w:after="0" w:line="208" w:lineRule="exact"/>
              <w:ind w:left="0" w:right="0" w:firstLine="0"/>
              <w:jc w:val="left"/>
              <w:rPr>
                <w:sz w:val="18"/>
                <w:szCs w:val="18"/>
              </w:rPr>
            </w:pPr>
            <w:r>
              <w:rPr>
                <w:color w:val="000000"/>
                <w:spacing w:val="0"/>
                <w:w w:val="100"/>
                <w:position w:val="0"/>
                <w:sz w:val="16"/>
                <w:szCs w:val="16"/>
              </w:rPr>
              <w:t>（上年结余结转+本年部门预算安排+上 半年执行中追加追减）</w:t>
            </w:r>
            <w:r>
              <w:rPr>
                <w:b/>
                <w:bCs/>
                <w:color w:val="000000"/>
                <w:spacing w:val="0"/>
                <w:w w:val="100"/>
                <w:position w:val="0"/>
                <w:sz w:val="18"/>
                <w:szCs w:val="18"/>
              </w:rPr>
              <w:t>*100%.</w:t>
            </w:r>
          </w:p>
          <w:p>
            <w:pPr>
              <w:pStyle w:val="12"/>
              <w:keepNext w:val="0"/>
              <w:keepLines w:val="0"/>
              <w:widowControl w:val="0"/>
              <w:shd w:val="clear" w:color="auto" w:fill="auto"/>
              <w:bidi w:val="0"/>
              <w:spacing w:before="0" w:after="0" w:line="208" w:lineRule="exact"/>
              <w:ind w:left="0" w:right="0" w:firstLine="0"/>
              <w:jc w:val="left"/>
              <w:rPr>
                <w:sz w:val="16"/>
                <w:szCs w:val="16"/>
              </w:rPr>
            </w:pPr>
            <w:r>
              <w:rPr>
                <w:color w:val="000000"/>
                <w:spacing w:val="0"/>
                <w:w w:val="100"/>
                <w:position w:val="0"/>
                <w:sz w:val="16"/>
                <w:szCs w:val="16"/>
              </w:rPr>
              <w:t>前三季度支出进度</w:t>
            </w:r>
            <w:r>
              <w:rPr>
                <w:color w:val="000000"/>
                <w:spacing w:val="0"/>
                <w:w w:val="100"/>
                <w:position w:val="0"/>
                <w:sz w:val="16"/>
                <w:szCs w:val="16"/>
                <w:lang w:val="zh-CN" w:eastAsia="zh-CN" w:bidi="zh-CN"/>
              </w:rPr>
              <w:t>■部门</w:t>
            </w:r>
            <w:r>
              <w:rPr>
                <w:color w:val="000000"/>
                <w:spacing w:val="0"/>
                <w:w w:val="100"/>
                <w:position w:val="0"/>
                <w:sz w:val="16"/>
                <w:szCs w:val="16"/>
              </w:rPr>
              <w:t>前三季度实际 支出/ （上年结余结转+本年部门预算安 排+前三季度执行中追加追减）</w:t>
            </w:r>
            <w:r>
              <w:rPr>
                <w:b/>
                <w:bCs/>
                <w:color w:val="000000"/>
                <w:spacing w:val="0"/>
                <w:w w:val="100"/>
                <w:position w:val="0"/>
                <w:sz w:val="18"/>
                <w:szCs w:val="18"/>
              </w:rPr>
              <w:t>*100%</w:t>
            </w:r>
            <w:r>
              <w:rPr>
                <w:color w:val="000000"/>
                <w:spacing w:val="0"/>
                <w:w w:val="100"/>
                <w:position w:val="0"/>
                <w:sz w:val="16"/>
                <w:szCs w:val="16"/>
              </w:rPr>
              <w:t>。</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11" w:lineRule="exact"/>
              <w:ind w:left="0" w:right="0" w:firstLine="0"/>
              <w:jc w:val="left"/>
              <w:rPr>
                <w:sz w:val="16"/>
                <w:szCs w:val="16"/>
              </w:rPr>
            </w:pPr>
            <w:r>
              <w:rPr>
                <w:color w:val="000000"/>
                <w:spacing w:val="0"/>
                <w:w w:val="100"/>
                <w:position w:val="0"/>
                <w:sz w:val="16"/>
                <w:szCs w:val="16"/>
              </w:rPr>
              <w:t>半年进度：进度率</w:t>
            </w:r>
            <w:r>
              <w:rPr>
                <w:b/>
                <w:bCs/>
                <w:color w:val="000000"/>
                <w:spacing w:val="0"/>
                <w:w w:val="100"/>
                <w:position w:val="0"/>
                <w:sz w:val="18"/>
                <w:szCs w:val="18"/>
              </w:rPr>
              <w:t>＞45%,</w:t>
            </w:r>
            <w:r>
              <w:rPr>
                <w:color w:val="000000"/>
                <w:spacing w:val="0"/>
                <w:w w:val="100"/>
                <w:position w:val="0"/>
                <w:sz w:val="16"/>
                <w:szCs w:val="16"/>
              </w:rPr>
              <w:t xml:space="preserve">得 </w:t>
            </w:r>
            <w:r>
              <w:rPr>
                <w:b/>
                <w:bCs/>
                <w:color w:val="000000"/>
                <w:spacing w:val="0"/>
                <w:w w:val="100"/>
                <w:position w:val="0"/>
                <w:sz w:val="18"/>
                <w:szCs w:val="18"/>
              </w:rPr>
              <w:t>2</w:t>
            </w:r>
            <w:r>
              <w:rPr>
                <w:color w:val="000000"/>
                <w:spacing w:val="0"/>
                <w:w w:val="100"/>
                <w:position w:val="0"/>
                <w:sz w:val="16"/>
                <w:szCs w:val="16"/>
              </w:rPr>
              <w:t>分；进度率在</w:t>
            </w:r>
            <w:r>
              <w:rPr>
                <w:b/>
                <w:bCs/>
                <w:color w:val="000000"/>
                <w:spacing w:val="0"/>
                <w:w w:val="100"/>
                <w:position w:val="0"/>
                <w:sz w:val="18"/>
                <w:szCs w:val="18"/>
              </w:rPr>
              <w:t xml:space="preserve">40% </w:t>
            </w:r>
            <w:r>
              <w:rPr>
                <w:color w:val="000000"/>
                <w:spacing w:val="0"/>
                <w:w w:val="100"/>
                <w:position w:val="0"/>
                <w:sz w:val="16"/>
                <w:szCs w:val="16"/>
              </w:rPr>
              <w:t>（含）和</w:t>
            </w:r>
            <w:r>
              <w:rPr>
                <w:b/>
                <w:bCs/>
                <w:color w:val="000000"/>
                <w:spacing w:val="0"/>
                <w:w w:val="100"/>
                <w:position w:val="0"/>
                <w:sz w:val="18"/>
                <w:szCs w:val="18"/>
              </w:rPr>
              <w:t xml:space="preserve">45% </w:t>
            </w:r>
            <w:r>
              <w:rPr>
                <w:color w:val="000000"/>
                <w:spacing w:val="0"/>
                <w:w w:val="100"/>
                <w:position w:val="0"/>
                <w:sz w:val="16"/>
                <w:szCs w:val="16"/>
              </w:rPr>
              <w:t>之间，得</w:t>
            </w:r>
            <w:r>
              <w:rPr>
                <w:b/>
                <w:bCs/>
                <w:color w:val="000000"/>
                <w:spacing w:val="0"/>
                <w:w w:val="100"/>
                <w:position w:val="0"/>
                <w:sz w:val="18"/>
                <w:szCs w:val="18"/>
              </w:rPr>
              <w:t>1</w:t>
            </w:r>
            <w:r>
              <w:rPr>
                <w:color w:val="000000"/>
                <w:spacing w:val="0"/>
                <w:w w:val="100"/>
                <w:position w:val="0"/>
                <w:sz w:val="16"/>
                <w:szCs w:val="16"/>
              </w:rPr>
              <w:t>分；进度率</w:t>
            </w:r>
            <w:r>
              <w:rPr>
                <w:b/>
                <w:bCs/>
                <w:color w:val="000000"/>
                <w:spacing w:val="0"/>
                <w:w w:val="100"/>
                <w:position w:val="0"/>
                <w:sz w:val="18"/>
                <w:szCs w:val="18"/>
              </w:rPr>
              <w:t>＜40%,</w:t>
            </w:r>
            <w:r>
              <w:rPr>
                <w:color w:val="000000"/>
                <w:spacing w:val="0"/>
                <w:w w:val="100"/>
                <w:position w:val="0"/>
                <w:sz w:val="16"/>
                <w:szCs w:val="16"/>
              </w:rPr>
              <w:t xml:space="preserve">得 </w:t>
            </w:r>
            <w:r>
              <w:rPr>
                <w:color w:val="000000"/>
                <w:spacing w:val="0"/>
                <w:w w:val="100"/>
                <w:position w:val="0"/>
                <w:sz w:val="16"/>
                <w:szCs w:val="16"/>
                <w:lang w:val="zh-CN" w:eastAsia="zh-CN" w:bidi="zh-CN"/>
              </w:rPr>
              <w:t>。分.</w:t>
            </w:r>
          </w:p>
          <w:p>
            <w:pPr>
              <w:pStyle w:val="12"/>
              <w:keepNext w:val="0"/>
              <w:keepLines w:val="0"/>
              <w:widowControl w:val="0"/>
              <w:shd w:val="clear" w:color="auto" w:fill="auto"/>
              <w:bidi w:val="0"/>
              <w:spacing w:before="0" w:after="0" w:line="211" w:lineRule="exact"/>
              <w:ind w:left="0" w:right="0" w:firstLine="0"/>
              <w:jc w:val="left"/>
              <w:rPr>
                <w:sz w:val="16"/>
                <w:szCs w:val="16"/>
              </w:rPr>
            </w:pPr>
            <w:r>
              <w:rPr>
                <w:color w:val="000000"/>
                <w:spacing w:val="0"/>
                <w:w w:val="100"/>
                <w:position w:val="0"/>
                <w:sz w:val="16"/>
                <w:szCs w:val="16"/>
              </w:rPr>
              <w:t>前三季度进度：进度率</w:t>
            </w:r>
            <w:r>
              <w:rPr>
                <w:b/>
                <w:bCs/>
                <w:color w:val="000000"/>
                <w:spacing w:val="0"/>
                <w:w w:val="100"/>
                <w:position w:val="0"/>
                <w:sz w:val="18"/>
                <w:szCs w:val="18"/>
              </w:rPr>
              <w:t xml:space="preserve">＞75%, </w:t>
            </w:r>
            <w:r>
              <w:rPr>
                <w:color w:val="000000"/>
                <w:spacing w:val="0"/>
                <w:w w:val="100"/>
                <w:position w:val="0"/>
                <w:sz w:val="16"/>
                <w:szCs w:val="16"/>
              </w:rPr>
              <w:t>得</w:t>
            </w:r>
            <w:r>
              <w:rPr>
                <w:b/>
                <w:bCs/>
                <w:color w:val="000000"/>
                <w:spacing w:val="0"/>
                <w:w w:val="100"/>
                <w:position w:val="0"/>
                <w:sz w:val="18"/>
                <w:szCs w:val="18"/>
              </w:rPr>
              <w:t>3</w:t>
            </w:r>
            <w:r>
              <w:rPr>
                <w:color w:val="000000"/>
                <w:spacing w:val="0"/>
                <w:w w:val="100"/>
                <w:position w:val="0"/>
                <w:sz w:val="16"/>
                <w:szCs w:val="16"/>
              </w:rPr>
              <w:t>分；进度率在</w:t>
            </w:r>
            <w:r>
              <w:rPr>
                <w:b/>
                <w:bCs/>
                <w:color w:val="000000"/>
                <w:spacing w:val="0"/>
                <w:w w:val="100"/>
                <w:position w:val="0"/>
                <w:sz w:val="18"/>
                <w:szCs w:val="18"/>
              </w:rPr>
              <w:t xml:space="preserve">60% </w:t>
            </w:r>
            <w:r>
              <w:rPr>
                <w:color w:val="000000"/>
                <w:spacing w:val="0"/>
                <w:w w:val="100"/>
                <w:position w:val="0"/>
                <w:sz w:val="16"/>
                <w:szCs w:val="16"/>
              </w:rPr>
              <w:t xml:space="preserve">（含）和 </w:t>
            </w:r>
            <w:r>
              <w:rPr>
                <w:b/>
                <w:bCs/>
                <w:color w:val="000000"/>
                <w:spacing w:val="0"/>
                <w:w w:val="100"/>
                <w:position w:val="0"/>
                <w:sz w:val="18"/>
                <w:szCs w:val="18"/>
              </w:rPr>
              <w:t>75%</w:t>
            </w:r>
            <w:r>
              <w:rPr>
                <w:color w:val="000000"/>
                <w:spacing w:val="0"/>
                <w:w w:val="100"/>
                <w:position w:val="0"/>
                <w:sz w:val="16"/>
                <w:szCs w:val="16"/>
              </w:rPr>
              <w:t>之间，得</w:t>
            </w:r>
            <w:r>
              <w:rPr>
                <w:b/>
                <w:bCs/>
                <w:color w:val="000000"/>
                <w:spacing w:val="0"/>
                <w:w w:val="100"/>
                <w:position w:val="0"/>
                <w:sz w:val="18"/>
                <w:szCs w:val="18"/>
              </w:rPr>
              <w:t>2</w:t>
            </w:r>
            <w:r>
              <w:rPr>
                <w:color w:val="000000"/>
                <w:spacing w:val="0"/>
                <w:w w:val="100"/>
                <w:position w:val="0"/>
                <w:sz w:val="16"/>
                <w:szCs w:val="16"/>
              </w:rPr>
              <w:t xml:space="preserve">分；进度率＜ </w:t>
            </w:r>
            <w:r>
              <w:rPr>
                <w:b/>
                <w:bCs/>
                <w:color w:val="000000"/>
                <w:spacing w:val="0"/>
                <w:w w:val="100"/>
                <w:position w:val="0"/>
                <w:sz w:val="18"/>
                <w:szCs w:val="18"/>
              </w:rPr>
              <w:t>60%,</w:t>
            </w:r>
            <w:r>
              <w:rPr>
                <w:color w:val="000000"/>
                <w:spacing w:val="0"/>
                <w:w w:val="100"/>
                <w:position w:val="0"/>
                <w:sz w:val="16"/>
                <w:szCs w:val="16"/>
              </w:rPr>
              <w:t>得</w:t>
            </w:r>
            <w:r>
              <w:rPr>
                <w:color w:val="000000"/>
                <w:spacing w:val="0"/>
                <w:w w:val="100"/>
                <w:position w:val="0"/>
                <w:sz w:val="16"/>
                <w:szCs w:val="16"/>
                <w:lang w:val="zh-CN" w:eastAsia="zh-CN" w:bidi="zh-CN"/>
              </w:rPr>
              <w:t>。分.</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color w:val="000000"/>
                <w:sz w:val="15"/>
                <w:szCs w:val="15"/>
              </w:rPr>
              <w:t>支出进</w:t>
            </w:r>
            <w:r>
              <w:rPr>
                <w:rFonts w:hint="eastAsia" w:ascii="仿宋_GB2312" w:eastAsia="仿宋_GB2312"/>
                <w:color w:val="000000"/>
                <w:sz w:val="15"/>
                <w:szCs w:val="15"/>
                <w:lang w:val="zh-CN" w:eastAsia="zh-CN" w:bidi="zh-CN"/>
              </w:rPr>
              <w:t>度率=</w:t>
            </w:r>
            <w:r>
              <w:rPr>
                <w:rFonts w:hint="eastAsia" w:ascii="仿宋_GB2312" w:eastAsia="仿宋_GB2312"/>
                <w:color w:val="000000"/>
                <w:sz w:val="15"/>
                <w:szCs w:val="15"/>
              </w:rPr>
              <w:t xml:space="preserve">（实际支出/支出预算） </w:t>
            </w:r>
            <w:r>
              <w:rPr>
                <w:rFonts w:hint="eastAsia" w:ascii="仿宋_GB2312" w:eastAsia="仿宋_GB2312"/>
                <w:b/>
                <w:bCs/>
                <w:color w:val="000000"/>
                <w:sz w:val="15"/>
                <w:szCs w:val="15"/>
              </w:rPr>
              <w:t>X 100%</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color w:val="000000"/>
                <w:sz w:val="15"/>
                <w:szCs w:val="15"/>
              </w:rPr>
              <w:t>半年进度：进度率</w:t>
            </w:r>
            <w:r>
              <w:rPr>
                <w:rFonts w:hint="eastAsia" w:ascii="仿宋_GB2312" w:eastAsia="仿宋_GB2312"/>
                <w:b/>
                <w:bCs/>
                <w:color w:val="000000"/>
                <w:sz w:val="15"/>
                <w:szCs w:val="15"/>
                <w:lang w:eastAsia="zh-CN"/>
              </w:rPr>
              <w:t>≥</w:t>
            </w:r>
            <w:r>
              <w:rPr>
                <w:rFonts w:hint="eastAsia" w:ascii="仿宋_GB2312" w:eastAsia="仿宋_GB2312"/>
                <w:b/>
                <w:bCs/>
                <w:color w:val="000000"/>
                <w:sz w:val="15"/>
                <w:szCs w:val="15"/>
              </w:rPr>
              <w:t>45%,</w:t>
            </w:r>
            <w:r>
              <w:rPr>
                <w:rFonts w:hint="eastAsia" w:ascii="仿宋_GB2312" w:eastAsia="仿宋_GB2312"/>
                <w:color w:val="000000"/>
                <w:sz w:val="15"/>
                <w:szCs w:val="15"/>
              </w:rPr>
              <w:t>前三季度进度：进度率</w:t>
            </w:r>
            <w:r>
              <w:rPr>
                <w:rFonts w:hint="eastAsia" w:ascii="仿宋_GB2312" w:eastAsia="仿宋_GB2312"/>
                <w:b/>
                <w:bCs/>
                <w:color w:val="000000"/>
                <w:sz w:val="15"/>
                <w:szCs w:val="15"/>
                <w:lang w:eastAsia="zh-CN"/>
              </w:rPr>
              <w:t>≥</w:t>
            </w:r>
            <w:r>
              <w:rPr>
                <w:rFonts w:hint="eastAsia" w:ascii="仿宋_GB2312" w:eastAsia="仿宋_GB2312"/>
                <w:b/>
                <w:bCs/>
                <w:color w:val="000000"/>
                <w:sz w:val="15"/>
                <w:szCs w:val="15"/>
              </w:rPr>
              <w:t>75%</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color w:val="000000"/>
                <w:sz w:val="15"/>
                <w:szCs w:val="15"/>
              </w:rPr>
              <w:t>半年进度：进度率</w:t>
            </w:r>
            <w:r>
              <w:rPr>
                <w:rFonts w:hint="eastAsia" w:ascii="仿宋_GB2312" w:eastAsia="仿宋_GB2312"/>
                <w:b/>
                <w:bCs/>
                <w:color w:val="000000"/>
                <w:sz w:val="15"/>
                <w:szCs w:val="15"/>
                <w:lang w:val="en-US" w:eastAsia="zh-CN"/>
              </w:rPr>
              <w:t>100</w:t>
            </w:r>
            <w:r>
              <w:rPr>
                <w:rFonts w:hint="eastAsia" w:ascii="仿宋_GB2312" w:eastAsia="仿宋_GB2312"/>
                <w:b/>
                <w:bCs/>
                <w:color w:val="000000"/>
                <w:sz w:val="15"/>
                <w:szCs w:val="15"/>
                <w:lang w:eastAsia="zh-CN"/>
              </w:rPr>
              <w:t>%</w:t>
            </w:r>
            <w:r>
              <w:rPr>
                <w:rFonts w:hint="eastAsia" w:ascii="仿宋_GB2312" w:eastAsia="仿宋_GB2312"/>
                <w:b/>
                <w:bCs/>
                <w:color w:val="000000"/>
                <w:sz w:val="15"/>
                <w:szCs w:val="15"/>
              </w:rPr>
              <w:t>,</w:t>
            </w:r>
            <w:r>
              <w:rPr>
                <w:rFonts w:hint="eastAsia" w:ascii="仿宋_GB2312" w:eastAsia="仿宋_GB2312"/>
                <w:color w:val="000000"/>
                <w:sz w:val="15"/>
                <w:szCs w:val="15"/>
              </w:rPr>
              <w:t>前三季度进度：进度率</w:t>
            </w:r>
            <w:r>
              <w:rPr>
                <w:rFonts w:hint="eastAsia" w:ascii="仿宋_GB2312" w:eastAsia="仿宋_GB2312"/>
                <w:b/>
                <w:bCs/>
                <w:color w:val="000000"/>
                <w:sz w:val="15"/>
                <w:szCs w:val="15"/>
                <w:lang w:eastAsia="zh-CN"/>
              </w:rPr>
              <w:t>≥</w:t>
            </w:r>
            <w:r>
              <w:rPr>
                <w:rFonts w:hint="eastAsia" w:ascii="仿宋_GB2312" w:eastAsia="仿宋_GB2312"/>
                <w:b/>
                <w:bCs/>
                <w:color w:val="000000"/>
                <w:sz w:val="15"/>
                <w:szCs w:val="15"/>
                <w:lang w:val="en-US" w:eastAsia="zh-CN"/>
              </w:rPr>
              <w:t>100</w:t>
            </w:r>
            <w:r>
              <w:rPr>
                <w:rFonts w:hint="eastAsia" w:ascii="仿宋_GB2312" w:eastAsia="仿宋_GB2312"/>
                <w:b/>
                <w:bCs/>
                <w:color w:val="000000"/>
                <w:sz w:val="15"/>
                <w:szCs w:val="15"/>
              </w:rPr>
              <w:t>%</w:t>
            </w:r>
          </w:p>
        </w:tc>
        <w:tc>
          <w:tcPr>
            <w:tcBorders>
              <w:top w:val="single" w:color="auto" w:sz="4" w:space="0"/>
              <w:left w:val="single" w:color="auto" w:sz="4" w:space="0"/>
            </w:tcBorders>
            <w:shd w:val="clear" w:color="auto" w:fill="FFFFFF"/>
            <w:vAlign w:val="center"/>
          </w:tcPr>
          <w:p>
            <w:pPr>
              <w:widowControl w:val="0"/>
              <w:jc w:val="center"/>
              <w:rPr>
                <w:rFonts w:hint="eastAsia" w:eastAsia="微软雅黑"/>
                <w:sz w:val="10"/>
                <w:szCs w:val="10"/>
                <w:lang w:val="en-US" w:eastAsia="zh-CN"/>
              </w:rPr>
            </w:pPr>
            <w:r>
              <w:rPr>
                <w:rFonts w:hint="eastAsia"/>
                <w:sz w:val="10"/>
                <w:szCs w:val="10"/>
                <w:lang w:val="en-US" w:eastAsia="zh-CN"/>
              </w:rPr>
              <w:t>5</w:t>
            </w:r>
          </w:p>
        </w:tc>
        <w:tc>
          <w:tcPr>
            <w:tcBorders>
              <w:top w:val="single" w:color="auto" w:sz="4" w:space="0"/>
              <w:left w:val="single" w:color="auto" w:sz="4" w:space="0"/>
            </w:tcBorders>
            <w:shd w:val="clear" w:color="auto" w:fill="FFFFFF"/>
            <w:vAlign w:val="center"/>
          </w:tcPr>
          <w:p>
            <w:pPr>
              <w:widowControl w:val="0"/>
              <w:jc w:val="center"/>
              <w:rPr>
                <w:sz w:val="10"/>
                <w:szCs w:val="10"/>
              </w:rPr>
            </w:pPr>
          </w:p>
        </w:tc>
        <w:tc>
          <w:tcPr>
            <w:tcBorders>
              <w:top w:val="single" w:color="auto" w:sz="4" w:space="0"/>
              <w:left w:val="single" w:color="auto" w:sz="4" w:space="0"/>
              <w:right w:val="single" w:color="auto" w:sz="4" w:space="0"/>
            </w:tcBorders>
            <w:shd w:val="clear" w:color="auto" w:fill="FFFFFF"/>
            <w:vAlign w:val="center"/>
          </w:tcPr>
          <w:p>
            <w:pPr>
              <w:widowControl w:val="0"/>
              <w:jc w:val="center"/>
              <w:rPr>
                <w:sz w:val="10"/>
                <w:szCs w:val="10"/>
              </w:rPr>
            </w:pPr>
          </w:p>
        </w:tc>
      </w:tr>
      <w:tr>
        <w:tblPrEx>
          <w:tblCellMar>
            <w:top w:w="0" w:type="dxa"/>
            <w:left w:w="10" w:type="dxa"/>
            <w:bottom w:w="0" w:type="dxa"/>
            <w:right w:w="10" w:type="dxa"/>
          </w:tblCellMar>
        </w:tblPrEx>
        <w:trPr>
          <w:trHeight w:val="1346" w:hRule="exact"/>
          <w:jc w:val="center"/>
        </w:trPr>
        <w:tc>
          <w:tcPr>
            <w:vMerge w:val="continue"/>
            <w:tcBorders>
              <w:left w:val="single" w:color="auto" w:sz="4" w:space="0"/>
            </w:tcBorders>
            <w:shd w:val="clear" w:color="auto" w:fill="FFFFFF"/>
            <w:textDirection w:val="tbRlV"/>
            <w:vAlign w:val="center"/>
          </w:tcPr>
          <w:p>
            <w:pPr>
              <w:jc w:val="center"/>
            </w:pPr>
          </w:p>
        </w:tc>
        <w:tc>
          <w:tcPr>
            <w:vMerge w:val="continue"/>
            <w:tcBorders>
              <w:left w:val="single" w:color="auto" w:sz="4" w:space="0"/>
            </w:tcBorders>
            <w:shd w:val="clear" w:color="auto" w:fill="FFFFFF"/>
            <w:vAlign w:val="center"/>
          </w:tcPr>
          <w:p>
            <w:pPr>
              <w:jc w:val="center"/>
            </w:pPr>
          </w:p>
        </w:tc>
        <w:tc>
          <w:tcPr>
            <w:tcBorders>
              <w:top w:val="single" w:color="auto" w:sz="4" w:space="0"/>
              <w:left w:val="single" w:color="auto" w:sz="4" w:space="0"/>
            </w:tcBorders>
            <w:shd w:val="clear" w:color="auto" w:fill="FFFFFF"/>
            <w:vAlign w:val="center"/>
          </w:tcPr>
          <w:p>
            <w:pPr>
              <w:pStyle w:val="14"/>
              <w:keepNext w:val="0"/>
              <w:keepLines w:val="0"/>
              <w:widowControl w:val="0"/>
              <w:shd w:val="clear" w:color="auto" w:fill="auto"/>
              <w:bidi w:val="0"/>
              <w:spacing w:before="0" w:after="0" w:line="187" w:lineRule="exact"/>
              <w:ind w:left="0" w:right="0" w:firstLine="0"/>
              <w:jc w:val="center"/>
            </w:pPr>
            <w:r>
              <w:rPr>
                <w:color w:val="000000"/>
                <w:spacing w:val="0"/>
                <w:w w:val="100"/>
                <w:position w:val="0"/>
              </w:rPr>
              <w:t xml:space="preserve">算制确 </w:t>
            </w:r>
            <w:r>
              <w:rPr>
                <w:b/>
                <w:bCs/>
                <w:color w:val="000000"/>
                <w:spacing w:val="0"/>
                <w:w w:val="100"/>
                <w:position w:val="0"/>
                <w:sz w:val="18"/>
                <w:szCs w:val="18"/>
              </w:rPr>
              <w:t xml:space="preserve">5 ) </w:t>
            </w:r>
            <w:r>
              <w:rPr>
                <w:color w:val="000000"/>
                <w:spacing w:val="0"/>
                <w:w w:val="100"/>
                <w:position w:val="0"/>
              </w:rPr>
              <w:t>预编准率{分</w:t>
            </w:r>
          </w:p>
        </w:tc>
        <w:tc>
          <w:tcPr>
            <w:tcBorders>
              <w:top w:val="single" w:color="auto" w:sz="4" w:space="0"/>
              <w:left w:val="single" w:color="auto" w:sz="4" w:space="0"/>
            </w:tcBorders>
            <w:shd w:val="clear" w:color="auto" w:fill="FFFFFF"/>
            <w:vAlign w:val="center"/>
          </w:tcPr>
          <w:p>
            <w:pPr>
              <w:pStyle w:val="14"/>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5</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173" w:lineRule="exact"/>
              <w:ind w:left="0" w:right="0" w:firstLine="0"/>
              <w:jc w:val="left"/>
              <w:rPr>
                <w:sz w:val="16"/>
                <w:szCs w:val="16"/>
              </w:rPr>
            </w:pPr>
            <w:r>
              <w:rPr>
                <w:color w:val="000000"/>
                <w:spacing w:val="0"/>
                <w:w w:val="100"/>
                <w:position w:val="0"/>
                <w:sz w:val="16"/>
                <w:szCs w:val="16"/>
              </w:rPr>
              <w:t>部门预算中除财政拔款外的其他收入预 算与决 算差异率。</w:t>
            </w:r>
          </w:p>
          <w:p>
            <w:pPr>
              <w:pStyle w:val="12"/>
              <w:keepNext w:val="0"/>
              <w:keepLines w:val="0"/>
              <w:widowControl w:val="0"/>
              <w:shd w:val="clear" w:color="auto" w:fill="auto"/>
              <w:bidi w:val="0"/>
              <w:spacing w:before="0" w:after="0" w:line="202" w:lineRule="exact"/>
              <w:ind w:left="0" w:right="0" w:firstLine="0"/>
              <w:jc w:val="left"/>
              <w:rPr>
                <w:sz w:val="18"/>
                <w:szCs w:val="18"/>
              </w:rPr>
            </w:pPr>
            <w:r>
              <w:rPr>
                <w:color w:val="000000"/>
                <w:spacing w:val="0"/>
                <w:w w:val="100"/>
                <w:position w:val="0"/>
                <w:sz w:val="16"/>
                <w:szCs w:val="16"/>
              </w:rPr>
              <w:t>预算编制准确率°=其他收入决算数/其他 收入预算数</w:t>
            </w:r>
            <w:r>
              <w:rPr>
                <w:b/>
                <w:bCs/>
                <w:color w:val="000000"/>
                <w:spacing w:val="0"/>
                <w:w w:val="100"/>
                <w:position w:val="0"/>
                <w:sz w:val="18"/>
                <w:szCs w:val="18"/>
              </w:rPr>
              <w:t>X 100%-100%.</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16" w:lineRule="exact"/>
              <w:ind w:left="0" w:right="0" w:firstLine="0"/>
              <w:jc w:val="left"/>
              <w:rPr>
                <w:sz w:val="18"/>
                <w:szCs w:val="18"/>
              </w:rPr>
            </w:pPr>
            <w:r>
              <w:rPr>
                <w:color w:val="000000"/>
                <w:spacing w:val="0"/>
                <w:w w:val="100"/>
                <w:position w:val="0"/>
                <w:sz w:val="16"/>
                <w:szCs w:val="16"/>
              </w:rPr>
              <w:t>预算编制准确率</w:t>
            </w:r>
            <w:r>
              <w:rPr>
                <w:b/>
                <w:bCs/>
                <w:color w:val="000000"/>
                <w:spacing w:val="0"/>
                <w:w w:val="100"/>
                <w:position w:val="0"/>
                <w:sz w:val="18"/>
                <w:szCs w:val="18"/>
              </w:rPr>
              <w:t>＜20%,</w:t>
            </w:r>
            <w:r>
              <w:rPr>
                <w:color w:val="000000"/>
                <w:spacing w:val="0"/>
                <w:w w:val="100"/>
                <w:position w:val="0"/>
                <w:sz w:val="16"/>
                <w:szCs w:val="16"/>
              </w:rPr>
              <w:t>得</w:t>
            </w:r>
            <w:r>
              <w:rPr>
                <w:b/>
                <w:bCs/>
                <w:color w:val="000000"/>
                <w:spacing w:val="0"/>
                <w:w w:val="100"/>
                <w:position w:val="0"/>
                <w:sz w:val="18"/>
                <w:szCs w:val="18"/>
              </w:rPr>
              <w:t>5</w:t>
            </w:r>
            <w:r>
              <w:rPr>
                <w:color w:val="000000"/>
                <w:spacing w:val="0"/>
                <w:w w:val="100"/>
                <w:position w:val="0"/>
                <w:sz w:val="16"/>
                <w:szCs w:val="16"/>
              </w:rPr>
              <w:t>分. 预算编制准确率在</w:t>
            </w:r>
            <w:r>
              <w:rPr>
                <w:b/>
                <w:bCs/>
                <w:color w:val="000000"/>
                <w:spacing w:val="0"/>
                <w:w w:val="100"/>
                <w:position w:val="0"/>
                <w:sz w:val="18"/>
                <w:szCs w:val="18"/>
              </w:rPr>
              <w:t>20%</w:t>
            </w:r>
            <w:r>
              <w:rPr>
                <w:color w:val="000000"/>
                <w:spacing w:val="0"/>
                <w:w w:val="100"/>
                <w:position w:val="0"/>
                <w:sz w:val="16"/>
                <w:szCs w:val="16"/>
              </w:rPr>
              <w:t>和</w:t>
            </w:r>
            <w:r>
              <w:rPr>
                <w:b/>
                <w:bCs/>
                <w:color w:val="000000"/>
                <w:spacing w:val="0"/>
                <w:w w:val="100"/>
                <w:position w:val="0"/>
                <w:sz w:val="18"/>
                <w:szCs w:val="18"/>
              </w:rPr>
              <w:t>40%</w:t>
            </w:r>
          </w:p>
          <w:p>
            <w:pPr>
              <w:pStyle w:val="12"/>
              <w:keepNext w:val="0"/>
              <w:keepLines w:val="0"/>
              <w:widowControl w:val="0"/>
              <w:shd w:val="clear" w:color="auto" w:fill="auto"/>
              <w:bidi w:val="0"/>
              <w:spacing w:before="0" w:after="0" w:line="216" w:lineRule="exact"/>
              <w:ind w:left="0" w:right="0" w:firstLine="0"/>
              <w:jc w:val="left"/>
              <w:rPr>
                <w:sz w:val="16"/>
                <w:szCs w:val="16"/>
              </w:rPr>
            </w:pPr>
            <w:r>
              <w:rPr>
                <w:color w:val="000000"/>
                <w:spacing w:val="0"/>
                <w:w w:val="100"/>
                <w:position w:val="0"/>
                <w:sz w:val="16"/>
                <w:szCs w:val="16"/>
              </w:rPr>
              <w:t>（含）之间，得</w:t>
            </w:r>
            <w:r>
              <w:rPr>
                <w:b/>
                <w:bCs/>
                <w:color w:val="000000"/>
                <w:spacing w:val="0"/>
                <w:w w:val="100"/>
                <w:position w:val="0"/>
                <w:sz w:val="18"/>
                <w:szCs w:val="18"/>
              </w:rPr>
              <w:t>3</w:t>
            </w:r>
            <w:r>
              <w:rPr>
                <w:color w:val="000000"/>
                <w:spacing w:val="0"/>
                <w:w w:val="100"/>
                <w:position w:val="0"/>
                <w:sz w:val="16"/>
                <w:szCs w:val="16"/>
              </w:rPr>
              <w:t>分.</w:t>
            </w:r>
          </w:p>
          <w:p>
            <w:pPr>
              <w:pStyle w:val="12"/>
              <w:keepNext w:val="0"/>
              <w:keepLines w:val="0"/>
              <w:widowControl w:val="0"/>
              <w:shd w:val="clear" w:color="auto" w:fill="auto"/>
              <w:bidi w:val="0"/>
              <w:spacing w:before="0" w:after="0" w:line="216" w:lineRule="exact"/>
              <w:ind w:left="0" w:right="0" w:firstLine="0"/>
              <w:jc w:val="left"/>
              <w:rPr>
                <w:sz w:val="16"/>
                <w:szCs w:val="16"/>
              </w:rPr>
            </w:pPr>
            <w:r>
              <w:rPr>
                <w:color w:val="000000"/>
                <w:spacing w:val="0"/>
                <w:w w:val="100"/>
                <w:position w:val="0"/>
                <w:sz w:val="16"/>
                <w:szCs w:val="16"/>
              </w:rPr>
              <w:t>预算编制准确率</w:t>
            </w:r>
            <w:r>
              <w:rPr>
                <w:b/>
                <w:bCs/>
                <w:color w:val="000000"/>
                <w:spacing w:val="0"/>
                <w:w w:val="100"/>
                <w:position w:val="0"/>
                <w:sz w:val="18"/>
                <w:szCs w:val="18"/>
              </w:rPr>
              <w:t>＞40%,</w:t>
            </w:r>
            <w:r>
              <w:rPr>
                <w:color w:val="000000"/>
                <w:spacing w:val="0"/>
                <w:w w:val="100"/>
                <w:position w:val="0"/>
                <w:sz w:val="16"/>
                <w:szCs w:val="16"/>
              </w:rPr>
              <w:t>得</w:t>
            </w:r>
            <w:r>
              <w:rPr>
                <w:b/>
                <w:bCs/>
                <w:color w:val="000000"/>
                <w:spacing w:val="0"/>
                <w:w w:val="100"/>
                <w:position w:val="0"/>
                <w:sz w:val="18"/>
                <w:szCs w:val="18"/>
              </w:rPr>
              <w:t>0</w:t>
            </w:r>
            <w:r>
              <w:rPr>
                <w:color w:val="000000"/>
                <w:spacing w:val="0"/>
                <w:w w:val="100"/>
                <w:position w:val="0"/>
                <w:sz w:val="16"/>
                <w:szCs w:val="16"/>
              </w:rPr>
              <w:t>分.</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color w:val="000000"/>
                <w:sz w:val="15"/>
                <w:szCs w:val="15"/>
              </w:rPr>
              <w:t>预算编制准确率°=其他收入决算数/其他收入预算数</w:t>
            </w:r>
            <w:r>
              <w:rPr>
                <w:rFonts w:hint="eastAsia" w:ascii="仿宋_GB2312" w:eastAsia="仿宋_GB2312"/>
                <w:b/>
                <w:bCs/>
                <w:color w:val="000000"/>
                <w:sz w:val="15"/>
                <w:szCs w:val="15"/>
              </w:rPr>
              <w:t>X 100%-100%</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sz w:val="15"/>
                <w:szCs w:val="15"/>
                <w:lang w:eastAsia="zh-CN"/>
              </w:rPr>
              <w:t>100%</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sz w:val="15"/>
                <w:szCs w:val="15"/>
                <w:lang w:eastAsia="zh-CN"/>
              </w:rPr>
              <w:t>其他收入决算数</w:t>
            </w:r>
            <w:r>
              <w:rPr>
                <w:rFonts w:hint="eastAsia" w:ascii="仿宋_GB2312" w:eastAsia="仿宋_GB2312"/>
                <w:sz w:val="15"/>
                <w:szCs w:val="15"/>
                <w:lang w:val="en-US" w:eastAsia="zh-CN"/>
              </w:rPr>
              <w:t>31.5</w:t>
            </w:r>
            <w:r>
              <w:rPr>
                <w:rFonts w:hint="eastAsia" w:ascii="仿宋_GB2312" w:eastAsia="仿宋_GB2312"/>
                <w:sz w:val="15"/>
                <w:szCs w:val="15"/>
                <w:lang w:eastAsia="zh-CN"/>
              </w:rPr>
              <w:t>万元，预算数0万元</w:t>
            </w:r>
          </w:p>
        </w:tc>
        <w:tc>
          <w:tcPr>
            <w:tcBorders>
              <w:top w:val="single" w:color="auto" w:sz="4" w:space="0"/>
              <w:left w:val="single" w:color="auto" w:sz="4" w:space="0"/>
            </w:tcBorders>
            <w:shd w:val="clear" w:color="auto" w:fill="FFFFFF"/>
            <w:vAlign w:val="center"/>
          </w:tcPr>
          <w:p>
            <w:pPr>
              <w:widowControl w:val="0"/>
              <w:jc w:val="center"/>
              <w:rPr>
                <w:rFonts w:hint="eastAsia" w:eastAsia="微软雅黑"/>
                <w:sz w:val="10"/>
                <w:szCs w:val="10"/>
                <w:lang w:val="en-US" w:eastAsia="zh-CN"/>
              </w:rPr>
            </w:pPr>
            <w:r>
              <w:rPr>
                <w:rFonts w:hint="eastAsia"/>
                <w:sz w:val="10"/>
                <w:szCs w:val="10"/>
                <w:lang w:val="en-US" w:eastAsia="zh-CN"/>
              </w:rPr>
              <w:t>0</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sz w:val="15"/>
                <w:szCs w:val="15"/>
                <w:lang w:eastAsia="zh-CN"/>
              </w:rPr>
              <w:t>年出预算未编制其他收入预算</w:t>
            </w:r>
          </w:p>
        </w:tc>
        <w:tc>
          <w:tcPr>
            <w:tcBorders>
              <w:top w:val="single" w:color="auto" w:sz="4" w:space="0"/>
              <w:left w:val="single" w:color="auto" w:sz="4" w:space="0"/>
              <w:right w:val="single" w:color="auto" w:sz="4" w:space="0"/>
            </w:tcBorders>
            <w:shd w:val="clear" w:color="auto" w:fill="FFFFFF"/>
            <w:vAlign w:val="center"/>
          </w:tcPr>
          <w:p>
            <w:pPr>
              <w:widowControl w:val="0"/>
              <w:jc w:val="center"/>
              <w:rPr>
                <w:sz w:val="10"/>
                <w:szCs w:val="10"/>
              </w:rPr>
            </w:pPr>
          </w:p>
        </w:tc>
      </w:tr>
      <w:tr>
        <w:tblPrEx>
          <w:tblCellMar>
            <w:top w:w="0" w:type="dxa"/>
            <w:left w:w="10" w:type="dxa"/>
            <w:bottom w:w="0" w:type="dxa"/>
            <w:right w:w="10" w:type="dxa"/>
          </w:tblCellMar>
        </w:tblPrEx>
        <w:trPr>
          <w:trHeight w:val="1534" w:hRule="exact"/>
          <w:jc w:val="center"/>
        </w:trPr>
        <w:tc>
          <w:tcPr>
            <w:vMerge w:val="restart"/>
            <w:tcBorders>
              <w:top w:val="single" w:color="auto" w:sz="4" w:space="0"/>
              <w:left w:val="single" w:color="auto" w:sz="4" w:space="0"/>
            </w:tcBorders>
            <w:shd w:val="clear" w:color="auto" w:fill="FFFFFF"/>
            <w:vAlign w:val="center"/>
          </w:tcPr>
          <w:p>
            <w:pPr>
              <w:pStyle w:val="1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过程</w:t>
            </w:r>
          </w:p>
        </w:tc>
        <w:tc>
          <w:tcPr>
            <w:vMerge w:val="restart"/>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187" w:lineRule="exact"/>
              <w:ind w:left="0" w:right="0" w:firstLine="0"/>
              <w:jc w:val="center"/>
              <w:rPr>
                <w:sz w:val="18"/>
                <w:szCs w:val="18"/>
              </w:rPr>
            </w:pPr>
            <w:r>
              <w:rPr>
                <w:color w:val="000000"/>
                <w:spacing w:val="0"/>
                <w:w w:val="100"/>
                <w:position w:val="0"/>
                <w:sz w:val="16"/>
                <w:szCs w:val="16"/>
              </w:rPr>
              <w:t>预算管 理</w:t>
            </w:r>
            <w:r>
              <w:rPr>
                <w:b/>
                <w:bCs/>
                <w:color w:val="000000"/>
                <w:spacing w:val="0"/>
                <w:w w:val="100"/>
                <w:position w:val="0"/>
                <w:sz w:val="18"/>
                <w:szCs w:val="18"/>
              </w:rPr>
              <w:t>（15</w:t>
            </w:r>
          </w:p>
          <w:p>
            <w:pPr>
              <w:pStyle w:val="12"/>
              <w:keepNext w:val="0"/>
              <w:keepLines w:val="0"/>
              <w:widowControl w:val="0"/>
              <w:shd w:val="clear" w:color="auto" w:fill="auto"/>
              <w:bidi w:val="0"/>
              <w:spacing w:before="0" w:after="0" w:line="187" w:lineRule="exact"/>
              <w:ind w:left="0" w:right="0" w:firstLine="0"/>
              <w:jc w:val="center"/>
              <w:rPr>
                <w:sz w:val="16"/>
                <w:szCs w:val="16"/>
              </w:rPr>
            </w:pPr>
            <w:r>
              <w:rPr>
                <w:color w:val="000000"/>
                <w:spacing w:val="0"/>
                <w:w w:val="100"/>
                <w:position w:val="0"/>
                <w:sz w:val="16"/>
                <w:szCs w:val="16"/>
              </w:rPr>
              <w:t>分）</w:t>
            </w:r>
          </w:p>
        </w:tc>
        <w:tc>
          <w:tcPr>
            <w:tcBorders>
              <w:top w:val="single" w:color="auto" w:sz="4" w:space="0"/>
              <w:left w:val="single" w:color="auto" w:sz="4" w:space="0"/>
            </w:tcBorders>
            <w:shd w:val="clear" w:color="auto" w:fill="FFFFFF"/>
            <w:vAlign w:val="center"/>
          </w:tcPr>
          <w:p>
            <w:pPr>
              <w:pStyle w:val="14"/>
              <w:keepNext w:val="0"/>
              <w:keepLines w:val="0"/>
              <w:widowControl w:val="0"/>
              <w:shd w:val="clear" w:color="auto" w:fill="auto"/>
              <w:bidi w:val="0"/>
              <w:spacing w:before="0" w:after="0" w:line="158" w:lineRule="exact"/>
              <w:ind w:left="0" w:right="0" w:firstLine="0"/>
              <w:jc w:val="center"/>
            </w:pPr>
            <w:r>
              <w:rPr>
                <w:color w:val="000000"/>
                <w:spacing w:val="0"/>
                <w:w w:val="100"/>
                <w:position w:val="0"/>
              </w:rPr>
              <w:t>三经</w:t>
            </w:r>
            <w:r>
              <w:rPr>
                <w:color w:val="000000"/>
                <w:spacing w:val="0"/>
                <w:w w:val="100"/>
                <w:position w:val="0"/>
                <w:lang w:val="zh-CN" w:eastAsia="zh-CN" w:bidi="zh-CN"/>
              </w:rPr>
              <w:t xml:space="preserve">”制 </w:t>
            </w:r>
            <w:r>
              <w:rPr>
                <w:b/>
                <w:bCs/>
                <w:color w:val="000000"/>
                <w:spacing w:val="0"/>
                <w:w w:val="100"/>
                <w:position w:val="0"/>
                <w:sz w:val="18"/>
                <w:szCs w:val="18"/>
              </w:rPr>
              <w:t xml:space="preserve">5 ) </w:t>
            </w:r>
            <w:r>
              <w:rPr>
                <w:color w:val="000000"/>
                <w:spacing w:val="0"/>
                <w:w w:val="100"/>
                <w:position w:val="0"/>
                <w:lang w:val="zh-CN" w:eastAsia="zh-CN" w:bidi="zh-CN"/>
              </w:rPr>
              <w:t>“公</w:t>
            </w:r>
            <w:r>
              <w:rPr>
                <w:color w:val="000000"/>
                <w:spacing w:val="0"/>
                <w:w w:val="100"/>
                <w:position w:val="0"/>
              </w:rPr>
              <w:t>费控率{分</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40" w:lineRule="auto"/>
              <w:ind w:left="0" w:right="0" w:firstLine="140"/>
              <w:jc w:val="center"/>
              <w:rPr>
                <w:sz w:val="18"/>
                <w:szCs w:val="18"/>
              </w:rPr>
            </w:pPr>
            <w:r>
              <w:rPr>
                <w:b/>
                <w:bCs/>
                <w:color w:val="000000"/>
                <w:spacing w:val="0"/>
                <w:w w:val="100"/>
                <w:position w:val="0"/>
                <w:sz w:val="18"/>
                <w:szCs w:val="18"/>
              </w:rPr>
              <w:t>5</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06" w:lineRule="exact"/>
              <w:ind w:left="0" w:right="0" w:firstLine="0"/>
              <w:jc w:val="left"/>
              <w:rPr>
                <w:sz w:val="16"/>
                <w:szCs w:val="16"/>
              </w:rPr>
            </w:pPr>
            <w:r>
              <w:rPr>
                <w:color w:val="000000"/>
                <w:spacing w:val="0"/>
                <w:w w:val="100"/>
                <w:position w:val="0"/>
                <w:sz w:val="16"/>
                <w:szCs w:val="16"/>
                <w:lang w:val="zh-CN" w:eastAsia="zh-CN" w:bidi="zh-CN"/>
              </w:rPr>
              <w:t>“三公</w:t>
            </w:r>
            <w:r>
              <w:rPr>
                <w:color w:val="000000"/>
                <w:spacing w:val="0"/>
                <w:w w:val="100"/>
                <w:position w:val="0"/>
                <w:sz w:val="16"/>
                <w:szCs w:val="16"/>
              </w:rPr>
              <w:t>经费”控制率=（</w:t>
            </w:r>
            <w:r>
              <w:rPr>
                <w:color w:val="000000"/>
                <w:spacing w:val="0"/>
                <w:w w:val="100"/>
                <w:position w:val="0"/>
                <w:sz w:val="16"/>
                <w:szCs w:val="16"/>
                <w:lang w:val="zh-CN" w:eastAsia="zh-CN" w:bidi="zh-CN"/>
              </w:rPr>
              <w:t>“三公</w:t>
            </w:r>
            <w:r>
              <w:rPr>
                <w:color w:val="000000"/>
                <w:spacing w:val="0"/>
                <w:w w:val="100"/>
                <w:position w:val="0"/>
                <w:sz w:val="16"/>
                <w:szCs w:val="16"/>
              </w:rPr>
              <w:t xml:space="preserve">经费”实 际支出数/ </w:t>
            </w:r>
            <w:r>
              <w:rPr>
                <w:color w:val="000000"/>
                <w:spacing w:val="0"/>
                <w:w w:val="100"/>
                <w:position w:val="0"/>
                <w:sz w:val="16"/>
                <w:szCs w:val="16"/>
                <w:lang w:val="zh-CN" w:eastAsia="zh-CN" w:bidi="zh-CN"/>
              </w:rPr>
              <w:t>“三公</w:t>
            </w:r>
            <w:r>
              <w:rPr>
                <w:color w:val="000000"/>
                <w:spacing w:val="0"/>
                <w:w w:val="100"/>
                <w:position w:val="0"/>
                <w:sz w:val="16"/>
                <w:szCs w:val="16"/>
              </w:rPr>
              <w:t xml:space="preserve">经费”预算安排数） </w:t>
            </w:r>
            <w:r>
              <w:rPr>
                <w:b/>
                <w:bCs/>
                <w:color w:val="000000"/>
                <w:spacing w:val="0"/>
                <w:w w:val="100"/>
                <w:position w:val="0"/>
                <w:sz w:val="18"/>
                <w:szCs w:val="18"/>
              </w:rPr>
              <w:t>X 100%,</w:t>
            </w:r>
            <w:r>
              <w:rPr>
                <w:color w:val="000000"/>
                <w:spacing w:val="0"/>
                <w:w w:val="100"/>
                <w:position w:val="0"/>
                <w:sz w:val="16"/>
                <w:szCs w:val="16"/>
              </w:rPr>
              <w:t>用以反映和考核部门（单位） 对</w:t>
            </w:r>
            <w:r>
              <w:rPr>
                <w:color w:val="000000"/>
                <w:spacing w:val="0"/>
                <w:w w:val="100"/>
                <w:position w:val="0"/>
                <w:sz w:val="16"/>
                <w:szCs w:val="16"/>
                <w:lang w:val="zh-CN" w:eastAsia="zh-CN" w:bidi="zh-CN"/>
              </w:rPr>
              <w:t>“三公</w:t>
            </w:r>
            <w:r>
              <w:rPr>
                <w:color w:val="000000"/>
                <w:spacing w:val="0"/>
                <w:w w:val="100"/>
                <w:position w:val="0"/>
                <w:sz w:val="16"/>
                <w:szCs w:val="16"/>
              </w:rPr>
              <w:t>经费”的实际控制程度。</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16" w:lineRule="exact"/>
              <w:ind w:left="0" w:right="0" w:firstLine="0"/>
              <w:jc w:val="left"/>
              <w:rPr>
                <w:sz w:val="18"/>
                <w:szCs w:val="18"/>
              </w:rPr>
            </w:pPr>
            <w:r>
              <w:rPr>
                <w:color w:val="000000"/>
                <w:spacing w:val="0"/>
                <w:w w:val="100"/>
                <w:position w:val="0"/>
                <w:sz w:val="16"/>
                <w:szCs w:val="16"/>
              </w:rPr>
              <w:t>三公经费控制率</w:t>
            </w:r>
            <w:r>
              <w:rPr>
                <w:b/>
                <w:bCs/>
                <w:color w:val="000000"/>
                <w:spacing w:val="0"/>
                <w:w w:val="100"/>
                <w:position w:val="0"/>
                <w:sz w:val="18"/>
                <w:szCs w:val="18"/>
              </w:rPr>
              <w:t>＜ 100%,</w:t>
            </w:r>
            <w:r>
              <w:rPr>
                <w:b/>
                <w:bCs/>
                <w:i/>
                <w:iCs/>
                <w:color w:val="000000"/>
                <w:spacing w:val="0"/>
                <w:w w:val="100"/>
                <w:position w:val="0"/>
                <w:sz w:val="18"/>
                <w:szCs w:val="18"/>
              </w:rPr>
              <w:t>得</w:t>
            </w:r>
          </w:p>
          <w:p>
            <w:pPr>
              <w:pStyle w:val="12"/>
              <w:keepNext w:val="0"/>
              <w:keepLines w:val="0"/>
              <w:widowControl w:val="0"/>
              <w:shd w:val="clear" w:color="auto" w:fill="auto"/>
              <w:bidi w:val="0"/>
              <w:spacing w:before="0" w:after="0" w:line="216" w:lineRule="exact"/>
              <w:ind w:left="0" w:right="0" w:firstLine="0"/>
              <w:jc w:val="left"/>
              <w:rPr>
                <w:sz w:val="16"/>
                <w:szCs w:val="16"/>
              </w:rPr>
            </w:pPr>
            <w:r>
              <w:rPr>
                <w:b/>
                <w:bCs/>
                <w:color w:val="000000"/>
                <w:spacing w:val="0"/>
                <w:w w:val="100"/>
                <w:position w:val="0"/>
                <w:sz w:val="18"/>
                <w:szCs w:val="18"/>
              </w:rPr>
              <w:t>5</w:t>
            </w:r>
            <w:r>
              <w:rPr>
                <w:color w:val="000000"/>
                <w:spacing w:val="0"/>
                <w:w w:val="100"/>
                <w:position w:val="0"/>
                <w:sz w:val="16"/>
                <w:szCs w:val="16"/>
              </w:rPr>
              <w:t>分，每増加</w:t>
            </w:r>
            <w:r>
              <w:rPr>
                <w:b/>
                <w:bCs/>
                <w:color w:val="000000"/>
                <w:spacing w:val="0"/>
                <w:w w:val="100"/>
                <w:position w:val="0"/>
                <w:sz w:val="18"/>
                <w:szCs w:val="18"/>
                <w:lang w:val="en-US" w:eastAsia="en-US" w:bidi="en-US"/>
              </w:rPr>
              <w:t xml:space="preserve">0. </w:t>
            </w:r>
            <w:r>
              <w:rPr>
                <w:b/>
                <w:bCs/>
                <w:color w:val="000000"/>
                <w:spacing w:val="0"/>
                <w:w w:val="100"/>
                <w:position w:val="0"/>
                <w:sz w:val="18"/>
                <w:szCs w:val="18"/>
              </w:rPr>
              <w:t>1</w:t>
            </w:r>
            <w:r>
              <w:rPr>
                <w:color w:val="000000"/>
                <w:spacing w:val="0"/>
                <w:w w:val="100"/>
                <w:position w:val="0"/>
                <w:sz w:val="16"/>
                <w:szCs w:val="16"/>
              </w:rPr>
              <w:t>个百分点扣</w:t>
            </w:r>
            <w:r>
              <w:rPr>
                <w:b/>
                <w:bCs/>
                <w:color w:val="000000"/>
                <w:spacing w:val="0"/>
                <w:w w:val="100"/>
                <w:position w:val="0"/>
                <w:sz w:val="18"/>
                <w:szCs w:val="18"/>
                <w:lang w:val="en-US" w:eastAsia="en-US" w:bidi="en-US"/>
              </w:rPr>
              <w:t xml:space="preserve">0. </w:t>
            </w:r>
            <w:r>
              <w:rPr>
                <w:b/>
                <w:bCs/>
                <w:color w:val="000000"/>
                <w:spacing w:val="0"/>
                <w:w w:val="100"/>
                <w:position w:val="0"/>
                <w:sz w:val="18"/>
                <w:szCs w:val="18"/>
              </w:rPr>
              <w:t xml:space="preserve">5 </w:t>
            </w:r>
            <w:r>
              <w:rPr>
                <w:color w:val="000000"/>
                <w:spacing w:val="0"/>
                <w:w w:val="100"/>
                <w:position w:val="0"/>
                <w:sz w:val="16"/>
                <w:szCs w:val="16"/>
              </w:rPr>
              <w:t>分，扣完为止.</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color w:val="000000"/>
                <w:sz w:val="15"/>
                <w:szCs w:val="15"/>
                <w:lang w:val="zh-CN" w:eastAsia="zh-CN" w:bidi="zh-CN"/>
              </w:rPr>
              <w:t>“三公</w:t>
            </w:r>
            <w:r>
              <w:rPr>
                <w:rFonts w:hint="eastAsia" w:ascii="仿宋_GB2312" w:eastAsia="仿宋_GB2312"/>
                <w:color w:val="000000"/>
                <w:sz w:val="15"/>
                <w:szCs w:val="15"/>
              </w:rPr>
              <w:t>经费”控制率=（</w:t>
            </w:r>
            <w:r>
              <w:rPr>
                <w:rFonts w:hint="eastAsia" w:ascii="仿宋_GB2312" w:eastAsia="仿宋_GB2312"/>
                <w:color w:val="000000"/>
                <w:sz w:val="15"/>
                <w:szCs w:val="15"/>
                <w:lang w:val="zh-CN" w:eastAsia="zh-CN" w:bidi="zh-CN"/>
              </w:rPr>
              <w:t>“三公</w:t>
            </w:r>
            <w:r>
              <w:rPr>
                <w:rFonts w:hint="eastAsia" w:ascii="仿宋_GB2312" w:eastAsia="仿宋_GB2312"/>
                <w:color w:val="000000"/>
                <w:sz w:val="15"/>
                <w:szCs w:val="15"/>
              </w:rPr>
              <w:t xml:space="preserve">经费”实际支出数/ </w:t>
            </w:r>
            <w:r>
              <w:rPr>
                <w:rFonts w:hint="eastAsia" w:ascii="仿宋_GB2312" w:eastAsia="仿宋_GB2312"/>
                <w:color w:val="000000"/>
                <w:sz w:val="15"/>
                <w:szCs w:val="15"/>
                <w:lang w:val="zh-CN" w:eastAsia="zh-CN" w:bidi="zh-CN"/>
              </w:rPr>
              <w:t>“三公</w:t>
            </w:r>
            <w:r>
              <w:rPr>
                <w:rFonts w:hint="eastAsia" w:ascii="仿宋_GB2312" w:eastAsia="仿宋_GB2312"/>
                <w:color w:val="000000"/>
                <w:sz w:val="15"/>
                <w:szCs w:val="15"/>
              </w:rPr>
              <w:t xml:space="preserve">经费”预算安排数） </w:t>
            </w:r>
            <w:r>
              <w:rPr>
                <w:rFonts w:hint="eastAsia" w:ascii="仿宋_GB2312" w:eastAsia="仿宋_GB2312"/>
                <w:b/>
                <w:bCs/>
                <w:color w:val="000000"/>
                <w:sz w:val="15"/>
                <w:szCs w:val="15"/>
              </w:rPr>
              <w:t>X 100%</w:t>
            </w:r>
          </w:p>
        </w:tc>
        <w:tc>
          <w:tcPr>
            <w:tcBorders>
              <w:top w:val="single" w:color="auto" w:sz="4" w:space="0"/>
              <w:left w:val="single" w:color="auto" w:sz="4" w:space="0"/>
            </w:tcBorders>
            <w:shd w:val="clear" w:color="auto" w:fill="FFFFFF"/>
            <w:vAlign w:val="center"/>
          </w:tcPr>
          <w:p>
            <w:pPr>
              <w:pStyle w:val="12"/>
              <w:spacing w:line="180"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100%</w:t>
            </w:r>
          </w:p>
        </w:tc>
        <w:tc>
          <w:tcPr>
            <w:tcBorders>
              <w:top w:val="single" w:color="auto" w:sz="4" w:space="0"/>
              <w:left w:val="single" w:color="auto" w:sz="4" w:space="0"/>
            </w:tcBorders>
            <w:shd w:val="clear" w:color="auto" w:fill="FFFFFF"/>
            <w:vAlign w:val="center"/>
          </w:tcPr>
          <w:p>
            <w:pPr>
              <w:pStyle w:val="12"/>
              <w:spacing w:line="180"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100%</w:t>
            </w:r>
          </w:p>
        </w:tc>
        <w:tc>
          <w:tcPr>
            <w:tcBorders>
              <w:top w:val="single" w:color="auto" w:sz="4" w:space="0"/>
              <w:left w:val="single" w:color="auto" w:sz="4" w:space="0"/>
            </w:tcBorders>
            <w:shd w:val="clear" w:color="auto" w:fill="FFFFFF"/>
            <w:vAlign w:val="center"/>
          </w:tcPr>
          <w:p>
            <w:pPr>
              <w:pStyle w:val="12"/>
              <w:spacing w:line="180"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5</w:t>
            </w:r>
          </w:p>
        </w:tc>
        <w:tc>
          <w:tcPr>
            <w:tcBorders>
              <w:top w:val="single" w:color="auto" w:sz="4" w:space="0"/>
              <w:left w:val="single" w:color="auto" w:sz="4" w:space="0"/>
            </w:tcBorders>
            <w:shd w:val="clear" w:color="auto" w:fill="FFFFFF"/>
            <w:vAlign w:val="center"/>
          </w:tcPr>
          <w:p>
            <w:pPr>
              <w:widowControl w:val="0"/>
              <w:jc w:val="center"/>
              <w:rPr>
                <w:sz w:val="10"/>
                <w:szCs w:val="10"/>
              </w:rPr>
            </w:pPr>
          </w:p>
        </w:tc>
        <w:tc>
          <w:tcPr>
            <w:tcBorders>
              <w:top w:val="single" w:color="auto" w:sz="4" w:space="0"/>
              <w:left w:val="single" w:color="auto" w:sz="4" w:space="0"/>
              <w:right w:val="single" w:color="auto" w:sz="4" w:space="0"/>
            </w:tcBorders>
            <w:shd w:val="clear" w:color="auto" w:fill="FFFFFF"/>
            <w:vAlign w:val="center"/>
          </w:tcPr>
          <w:p>
            <w:pPr>
              <w:widowControl w:val="0"/>
              <w:jc w:val="center"/>
              <w:rPr>
                <w:sz w:val="10"/>
                <w:szCs w:val="10"/>
              </w:rPr>
            </w:pPr>
          </w:p>
        </w:tc>
      </w:tr>
      <w:tr>
        <w:tblPrEx>
          <w:tblCellMar>
            <w:top w:w="0" w:type="dxa"/>
            <w:left w:w="10" w:type="dxa"/>
            <w:bottom w:w="0" w:type="dxa"/>
            <w:right w:w="10" w:type="dxa"/>
          </w:tblCellMar>
        </w:tblPrEx>
        <w:trPr>
          <w:trHeight w:val="1570" w:hRule="exact"/>
          <w:jc w:val="center"/>
        </w:trPr>
        <w:tc>
          <w:tcPr>
            <w:vMerge w:val="continue"/>
            <w:tcBorders>
              <w:left w:val="single" w:color="auto" w:sz="4" w:space="0"/>
              <w:bottom w:val="single" w:color="auto" w:sz="4" w:space="0"/>
            </w:tcBorders>
            <w:shd w:val="clear" w:color="auto" w:fill="FFFFFF"/>
            <w:textDirection w:val="tbRlV"/>
            <w:vAlign w:val="center"/>
          </w:tcPr>
          <w:p>
            <w:pPr>
              <w:jc w:val="center"/>
            </w:pPr>
          </w:p>
        </w:tc>
        <w:tc>
          <w:tcPr>
            <w:vMerge w:val="continue"/>
            <w:tcBorders>
              <w:left w:val="single" w:color="auto" w:sz="4" w:space="0"/>
              <w:bottom w:val="single" w:color="auto" w:sz="4" w:space="0"/>
            </w:tcBorders>
            <w:shd w:val="clear" w:color="auto" w:fill="FFFFFF"/>
            <w:vAlign w:val="center"/>
          </w:tcPr>
          <w:p>
            <w:pPr>
              <w:jc w:val="center"/>
            </w:pPr>
          </w:p>
        </w:tc>
        <w:tc>
          <w:tcPr>
            <w:tcBorders>
              <w:top w:val="single" w:color="auto" w:sz="4" w:space="0"/>
              <w:left w:val="single" w:color="auto" w:sz="4" w:space="0"/>
              <w:bottom w:val="single" w:color="auto" w:sz="4" w:space="0"/>
            </w:tcBorders>
            <w:shd w:val="clear" w:color="auto" w:fill="FFFFFF"/>
            <w:vAlign w:val="center"/>
          </w:tcPr>
          <w:p>
            <w:pPr>
              <w:pStyle w:val="14"/>
              <w:keepNext w:val="0"/>
              <w:keepLines w:val="0"/>
              <w:widowControl w:val="0"/>
              <w:shd w:val="clear" w:color="auto" w:fill="auto"/>
              <w:bidi w:val="0"/>
              <w:spacing w:before="0" w:after="0" w:line="166" w:lineRule="exact"/>
              <w:ind w:left="0" w:right="0" w:firstLine="0"/>
              <w:jc w:val="center"/>
            </w:pPr>
            <w:r>
              <w:rPr>
                <w:color w:val="000000"/>
                <w:spacing w:val="0"/>
                <w:w w:val="100"/>
                <w:position w:val="0"/>
              </w:rPr>
              <w:t xml:space="preserve">产理范 </w:t>
            </w:r>
            <w:r>
              <w:rPr>
                <w:b/>
                <w:bCs/>
                <w:color w:val="000000"/>
                <w:spacing w:val="0"/>
                <w:w w:val="100"/>
                <w:position w:val="0"/>
                <w:sz w:val="18"/>
                <w:szCs w:val="18"/>
              </w:rPr>
              <w:t xml:space="preserve">5 ) </w:t>
            </w:r>
            <w:r>
              <w:rPr>
                <w:color w:val="000000"/>
                <w:spacing w:val="0"/>
                <w:w w:val="100"/>
                <w:position w:val="0"/>
              </w:rPr>
              <w:t>资管规性</w:t>
            </w:r>
            <w:r>
              <w:rPr>
                <w:color w:val="000000"/>
                <w:spacing w:val="0"/>
                <w:w w:val="100"/>
                <w:position w:val="0"/>
                <w:lang w:val="zh-CN" w:eastAsia="zh-CN" w:bidi="zh-CN"/>
              </w:rPr>
              <w:t>{分</w:t>
            </w:r>
          </w:p>
        </w:tc>
        <w:tc>
          <w:tcPr>
            <w:tcBorders>
              <w:top w:val="single" w:color="auto" w:sz="4" w:space="0"/>
              <w:left w:val="single" w:color="auto" w:sz="4" w:space="0"/>
              <w:bottom w:val="single" w:color="auto" w:sz="4" w:space="0"/>
            </w:tcBorders>
            <w:shd w:val="clear" w:color="auto" w:fill="FFFFFF"/>
            <w:vAlign w:val="center"/>
          </w:tcPr>
          <w:p>
            <w:pPr>
              <w:pStyle w:val="12"/>
              <w:keepNext w:val="0"/>
              <w:keepLines w:val="0"/>
              <w:widowControl w:val="0"/>
              <w:shd w:val="clear" w:color="auto" w:fill="auto"/>
              <w:bidi w:val="0"/>
              <w:spacing w:before="0" w:after="0" w:line="240" w:lineRule="auto"/>
              <w:ind w:left="0" w:right="0" w:firstLine="140"/>
              <w:jc w:val="center"/>
              <w:rPr>
                <w:sz w:val="18"/>
                <w:szCs w:val="18"/>
              </w:rPr>
            </w:pPr>
            <w:r>
              <w:rPr>
                <w:b/>
                <w:bCs/>
                <w:color w:val="000000"/>
                <w:spacing w:val="0"/>
                <w:w w:val="100"/>
                <w:position w:val="0"/>
                <w:sz w:val="18"/>
                <w:szCs w:val="18"/>
              </w:rPr>
              <w:t>5</w:t>
            </w:r>
          </w:p>
        </w:tc>
        <w:tc>
          <w:tcPr>
            <w:tcBorders>
              <w:top w:val="single" w:color="auto" w:sz="4" w:space="0"/>
              <w:left w:val="single" w:color="auto" w:sz="4" w:space="0"/>
              <w:bottom w:val="single" w:color="auto" w:sz="4" w:space="0"/>
            </w:tcBorders>
            <w:shd w:val="clear" w:color="auto" w:fill="FFFFFF"/>
            <w:vAlign w:val="top"/>
          </w:tcPr>
          <w:p>
            <w:pPr>
              <w:pStyle w:val="12"/>
              <w:keepNext w:val="0"/>
              <w:keepLines w:val="0"/>
              <w:widowControl w:val="0"/>
              <w:shd w:val="clear" w:color="auto" w:fill="auto"/>
              <w:bidi w:val="0"/>
              <w:spacing w:before="0" w:after="180" w:line="209" w:lineRule="exact"/>
              <w:ind w:left="0" w:right="0" w:firstLine="0"/>
              <w:jc w:val="left"/>
              <w:rPr>
                <w:sz w:val="16"/>
                <w:szCs w:val="16"/>
              </w:rPr>
            </w:pPr>
            <w:r>
              <w:rPr>
                <w:color w:val="000000"/>
                <w:spacing w:val="0"/>
                <w:w w:val="100"/>
                <w:position w:val="0"/>
                <w:sz w:val="16"/>
                <w:szCs w:val="16"/>
              </w:rPr>
              <w:t>部门（单位）资产管理是否规范，用以 反映和考核部门（单位）资产管理情况</w:t>
            </w:r>
          </w:p>
          <w:p>
            <w:pPr>
              <w:pStyle w:val="12"/>
              <w:keepNext w:val="0"/>
              <w:keepLines w:val="0"/>
              <w:widowControl w:val="0"/>
              <w:numPr>
                <w:ilvl w:val="0"/>
                <w:numId w:val="3"/>
              </w:numPr>
              <w:shd w:val="clear" w:color="auto" w:fill="auto"/>
              <w:tabs>
                <w:tab w:val="left" w:pos="158"/>
              </w:tabs>
              <w:bidi w:val="0"/>
              <w:spacing w:before="0" w:after="0" w:line="209" w:lineRule="exact"/>
              <w:ind w:left="0" w:right="0" w:firstLine="0"/>
              <w:jc w:val="left"/>
              <w:rPr>
                <w:sz w:val="16"/>
                <w:szCs w:val="16"/>
              </w:rPr>
            </w:pPr>
            <w:r>
              <w:rPr>
                <w:color w:val="000000"/>
                <w:spacing w:val="0"/>
                <w:w w:val="100"/>
                <w:position w:val="0"/>
                <w:sz w:val="16"/>
                <w:szCs w:val="16"/>
              </w:rPr>
              <w:t>新增资产配置按预算执行.</w:t>
            </w:r>
          </w:p>
          <w:p>
            <w:pPr>
              <w:pStyle w:val="12"/>
              <w:keepNext w:val="0"/>
              <w:keepLines w:val="0"/>
              <w:widowControl w:val="0"/>
              <w:numPr>
                <w:ilvl w:val="0"/>
                <w:numId w:val="3"/>
              </w:numPr>
              <w:shd w:val="clear" w:color="auto" w:fill="auto"/>
              <w:tabs>
                <w:tab w:val="left" w:pos="180"/>
              </w:tabs>
              <w:bidi w:val="0"/>
              <w:spacing w:before="0" w:after="180" w:line="209" w:lineRule="exact"/>
              <w:ind w:left="0" w:right="0" w:firstLine="0"/>
              <w:jc w:val="left"/>
              <w:rPr>
                <w:sz w:val="16"/>
                <w:szCs w:val="16"/>
              </w:rPr>
            </w:pPr>
            <w:r>
              <w:rPr>
                <w:color w:val="000000"/>
                <w:spacing w:val="0"/>
                <w:w w:val="100"/>
                <w:position w:val="0"/>
                <w:sz w:val="16"/>
                <w:szCs w:val="16"/>
              </w:rPr>
              <w:t>资产有偿使用、处置按规定程序审批</w:t>
            </w:r>
          </w:p>
          <w:p>
            <w:pPr>
              <w:pStyle w:val="12"/>
              <w:keepNext w:val="0"/>
              <w:keepLines w:val="0"/>
              <w:widowControl w:val="0"/>
              <w:numPr>
                <w:ilvl w:val="0"/>
                <w:numId w:val="3"/>
              </w:numPr>
              <w:shd w:val="clear" w:color="auto" w:fill="auto"/>
              <w:tabs>
                <w:tab w:val="left" w:pos="173"/>
              </w:tabs>
              <w:bidi w:val="0"/>
              <w:spacing w:before="0" w:after="180" w:line="209" w:lineRule="exact"/>
              <w:ind w:left="0" w:right="0" w:firstLine="0"/>
              <w:jc w:val="left"/>
              <w:rPr>
                <w:sz w:val="16"/>
                <w:szCs w:val="16"/>
              </w:rPr>
            </w:pPr>
            <w:r>
              <w:rPr>
                <w:color w:val="000000"/>
                <w:spacing w:val="0"/>
                <w:w w:val="100"/>
                <w:position w:val="0"/>
                <w:sz w:val="16"/>
                <w:szCs w:val="16"/>
              </w:rPr>
              <w:t>资产收益及时、足额上缴财政.</w:t>
            </w:r>
          </w:p>
        </w:tc>
        <w:tc>
          <w:tcPr>
            <w:tcBorders>
              <w:top w:val="single" w:color="auto" w:sz="4" w:space="0"/>
              <w:left w:val="single" w:color="auto" w:sz="4" w:space="0"/>
              <w:bottom w:val="single" w:color="auto" w:sz="4" w:space="0"/>
            </w:tcBorders>
            <w:shd w:val="clear" w:color="auto" w:fill="FFFFFF"/>
            <w:vAlign w:val="center"/>
          </w:tcPr>
          <w:p>
            <w:pPr>
              <w:pStyle w:val="12"/>
              <w:keepNext w:val="0"/>
              <w:keepLines w:val="0"/>
              <w:widowControl w:val="0"/>
              <w:shd w:val="clear" w:color="auto" w:fill="auto"/>
              <w:bidi w:val="0"/>
              <w:spacing w:before="0" w:after="0" w:line="223" w:lineRule="exact"/>
              <w:ind w:left="0" w:right="0" w:firstLine="0"/>
              <w:jc w:val="left"/>
              <w:rPr>
                <w:sz w:val="16"/>
                <w:szCs w:val="16"/>
              </w:rPr>
            </w:pPr>
            <w:r>
              <w:rPr>
                <w:color w:val="000000"/>
                <w:spacing w:val="0"/>
                <w:w w:val="100"/>
                <w:position w:val="0"/>
                <w:sz w:val="16"/>
                <w:szCs w:val="16"/>
              </w:rPr>
              <w:t>全部符合</w:t>
            </w:r>
            <w:r>
              <w:rPr>
                <w:b/>
                <w:bCs/>
                <w:color w:val="000000"/>
                <w:spacing w:val="0"/>
                <w:w w:val="100"/>
                <w:position w:val="0"/>
                <w:sz w:val="18"/>
                <w:szCs w:val="18"/>
              </w:rPr>
              <w:t>5</w:t>
            </w:r>
            <w:r>
              <w:rPr>
                <w:color w:val="000000"/>
                <w:spacing w:val="0"/>
                <w:w w:val="100"/>
                <w:position w:val="0"/>
                <w:sz w:val="16"/>
                <w:szCs w:val="16"/>
              </w:rPr>
              <w:t>分，有</w:t>
            </w:r>
            <w:r>
              <w:rPr>
                <w:b/>
                <w:bCs/>
                <w:color w:val="000000"/>
                <w:spacing w:val="0"/>
                <w:w w:val="100"/>
                <w:position w:val="0"/>
                <w:sz w:val="18"/>
                <w:szCs w:val="18"/>
              </w:rPr>
              <w:t>1</w:t>
            </w:r>
            <w:r>
              <w:rPr>
                <w:color w:val="000000"/>
                <w:spacing w:val="0"/>
                <w:w w:val="100"/>
                <w:position w:val="0"/>
                <w:sz w:val="16"/>
                <w:szCs w:val="16"/>
              </w:rPr>
              <w:t>项不符扣</w:t>
            </w:r>
            <w:r>
              <w:rPr>
                <w:b/>
                <w:bCs/>
                <w:color w:val="000000"/>
                <w:spacing w:val="0"/>
                <w:w w:val="100"/>
                <w:position w:val="0"/>
                <w:sz w:val="18"/>
                <w:szCs w:val="18"/>
              </w:rPr>
              <w:t>2</w:t>
            </w:r>
            <w:r>
              <w:rPr>
                <w:color w:val="000000"/>
                <w:spacing w:val="0"/>
                <w:w w:val="100"/>
                <w:position w:val="0"/>
                <w:sz w:val="16"/>
                <w:szCs w:val="16"/>
              </w:rPr>
              <w:t>分， 扣完为止.</w:t>
            </w:r>
          </w:p>
        </w:tc>
        <w:tc>
          <w:tcPr>
            <w:tcBorders>
              <w:top w:val="single" w:color="auto" w:sz="4" w:space="0"/>
              <w:left w:val="single" w:color="auto" w:sz="4" w:space="0"/>
              <w:bottom w:val="single" w:color="auto" w:sz="4" w:space="0"/>
            </w:tcBorders>
            <w:shd w:val="clear" w:color="auto" w:fill="FFFFFF"/>
            <w:vAlign w:val="center"/>
          </w:tcPr>
          <w:p>
            <w:pPr>
              <w:widowControl w:val="0"/>
              <w:jc w:val="center"/>
              <w:rPr>
                <w:sz w:val="10"/>
                <w:szCs w:val="10"/>
              </w:rPr>
            </w:pPr>
            <w:r>
              <w:rPr>
                <w:rFonts w:hint="eastAsia" w:ascii="仿宋_GB2312" w:eastAsia="仿宋_GB2312"/>
                <w:color w:val="000000"/>
                <w:sz w:val="15"/>
                <w:szCs w:val="15"/>
              </w:rPr>
              <w:t>全部符合</w:t>
            </w:r>
            <w:r>
              <w:rPr>
                <w:rFonts w:hint="eastAsia" w:ascii="仿宋_GB2312" w:eastAsia="仿宋_GB2312"/>
                <w:b/>
                <w:bCs/>
                <w:color w:val="000000"/>
                <w:sz w:val="15"/>
                <w:szCs w:val="15"/>
              </w:rPr>
              <w:t>5</w:t>
            </w:r>
            <w:r>
              <w:rPr>
                <w:rFonts w:hint="eastAsia" w:ascii="仿宋_GB2312" w:eastAsia="仿宋_GB2312"/>
                <w:color w:val="000000"/>
                <w:sz w:val="15"/>
                <w:szCs w:val="15"/>
              </w:rPr>
              <w:t>分，有</w:t>
            </w:r>
            <w:r>
              <w:rPr>
                <w:rFonts w:hint="eastAsia" w:ascii="仿宋_GB2312" w:eastAsia="仿宋_GB2312"/>
                <w:b/>
                <w:bCs/>
                <w:color w:val="000000"/>
                <w:sz w:val="15"/>
                <w:szCs w:val="15"/>
              </w:rPr>
              <w:t>1</w:t>
            </w:r>
            <w:r>
              <w:rPr>
                <w:rFonts w:hint="eastAsia" w:ascii="仿宋_GB2312" w:eastAsia="仿宋_GB2312"/>
                <w:color w:val="000000"/>
                <w:sz w:val="15"/>
                <w:szCs w:val="15"/>
              </w:rPr>
              <w:t>项不符扣</w:t>
            </w:r>
            <w:r>
              <w:rPr>
                <w:rFonts w:hint="eastAsia" w:ascii="仿宋_GB2312" w:eastAsia="仿宋_GB2312"/>
                <w:b/>
                <w:bCs/>
                <w:color w:val="000000"/>
                <w:sz w:val="15"/>
                <w:szCs w:val="15"/>
              </w:rPr>
              <w:t>2</w:t>
            </w:r>
            <w:r>
              <w:rPr>
                <w:rFonts w:hint="eastAsia" w:ascii="仿宋_GB2312" w:eastAsia="仿宋_GB2312"/>
                <w:color w:val="000000"/>
                <w:sz w:val="15"/>
                <w:szCs w:val="15"/>
              </w:rPr>
              <w:t>分， 扣完为止.</w:t>
            </w:r>
          </w:p>
        </w:tc>
        <w:tc>
          <w:tcPr>
            <w:tcBorders>
              <w:top w:val="single" w:color="auto" w:sz="4" w:space="0"/>
              <w:left w:val="single" w:color="auto" w:sz="4" w:space="0"/>
              <w:bottom w:val="single" w:color="auto" w:sz="4" w:space="0"/>
            </w:tcBorders>
            <w:shd w:val="clear" w:color="auto" w:fill="FFFFFF"/>
            <w:vAlign w:val="center"/>
          </w:tcPr>
          <w:p>
            <w:pPr>
              <w:pStyle w:val="12"/>
              <w:spacing w:line="180"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全部符合</w:t>
            </w:r>
          </w:p>
        </w:tc>
        <w:tc>
          <w:tcPr>
            <w:tcBorders>
              <w:top w:val="single" w:color="auto" w:sz="4" w:space="0"/>
              <w:left w:val="single" w:color="auto" w:sz="4" w:space="0"/>
              <w:bottom w:val="single" w:color="auto" w:sz="4" w:space="0"/>
            </w:tcBorders>
            <w:shd w:val="clear" w:color="auto" w:fill="FFFFFF"/>
            <w:vAlign w:val="center"/>
          </w:tcPr>
          <w:p>
            <w:pPr>
              <w:pStyle w:val="12"/>
              <w:spacing w:line="180" w:lineRule="exact"/>
              <w:ind w:firstLine="0" w:firstLineChars="0"/>
              <w:jc w:val="center"/>
              <w:rPr>
                <w:rFonts w:hint="eastAsia" w:ascii="仿宋_GB2312" w:hAnsi="宋体" w:eastAsia="仿宋_GB2312" w:cs="宋体"/>
                <w:sz w:val="15"/>
                <w:szCs w:val="15"/>
                <w:u w:val="none"/>
                <w:shd w:val="clear" w:color="auto" w:fill="auto"/>
                <w:lang w:val="zh-TW" w:eastAsia="zh-TW" w:bidi="zh-TW"/>
              </w:rPr>
            </w:pPr>
            <w:r>
              <w:rPr>
                <w:rFonts w:hint="eastAsia" w:ascii="仿宋_GB2312" w:eastAsia="仿宋_GB2312"/>
                <w:sz w:val="15"/>
                <w:szCs w:val="15"/>
                <w:lang w:eastAsia="zh-CN"/>
              </w:rPr>
              <w:t>全部符合</w:t>
            </w:r>
          </w:p>
        </w:tc>
        <w:tc>
          <w:tcPr>
            <w:tcBorders>
              <w:top w:val="single" w:color="auto" w:sz="4" w:space="0"/>
              <w:left w:val="single" w:color="auto" w:sz="4" w:space="0"/>
              <w:bottom w:val="single" w:color="auto" w:sz="4" w:space="0"/>
            </w:tcBorders>
            <w:shd w:val="clear" w:color="auto" w:fill="FFFFFF"/>
            <w:vAlign w:val="center"/>
          </w:tcPr>
          <w:p>
            <w:pPr>
              <w:pStyle w:val="12"/>
              <w:spacing w:line="180"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5</w:t>
            </w:r>
          </w:p>
        </w:tc>
        <w:tc>
          <w:tcPr>
            <w:tcBorders>
              <w:top w:val="single" w:color="auto" w:sz="4" w:space="0"/>
              <w:left w:val="single" w:color="auto" w:sz="4" w:space="0"/>
              <w:bottom w:val="single" w:color="auto" w:sz="4" w:space="0"/>
            </w:tcBorders>
            <w:shd w:val="clear" w:color="auto" w:fill="FFFFFF"/>
            <w:vAlign w:val="center"/>
          </w:tcPr>
          <w:p>
            <w:pPr>
              <w:widowControl w:val="0"/>
              <w:jc w:val="center"/>
              <w:rPr>
                <w:sz w:val="10"/>
                <w:szCs w:val="10"/>
              </w:rPr>
            </w:pPr>
          </w:p>
        </w:tc>
        <w:tc>
          <w:tcPr>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sz w:val="10"/>
                <w:szCs w:val="10"/>
              </w:rPr>
            </w:pPr>
          </w:p>
        </w:tc>
      </w:tr>
    </w:tbl>
    <w:p>
      <w:pPr>
        <w:spacing w:line="1" w:lineRule="exact"/>
        <w:rPr>
          <w:sz w:val="2"/>
          <w:szCs w:val="2"/>
        </w:rPr>
      </w:pPr>
      <w:r>
        <w:br w:type="page"/>
      </w:r>
    </w:p>
    <w:tbl>
      <w:tblPr>
        <w:tblStyle w:val="9"/>
        <w:tblW w:w="0" w:type="auto"/>
        <w:jc w:val="center"/>
        <w:tblLayout w:type="fixed"/>
        <w:tblCellMar>
          <w:top w:w="0" w:type="dxa"/>
          <w:left w:w="10" w:type="dxa"/>
          <w:bottom w:w="0" w:type="dxa"/>
          <w:right w:w="10" w:type="dxa"/>
        </w:tblCellMar>
      </w:tblPr>
      <w:tblGrid>
        <w:gridCol w:w="504"/>
        <w:gridCol w:w="634"/>
        <w:gridCol w:w="490"/>
        <w:gridCol w:w="331"/>
        <w:gridCol w:w="3312"/>
        <w:gridCol w:w="2628"/>
        <w:gridCol w:w="1073"/>
        <w:gridCol w:w="713"/>
        <w:gridCol w:w="713"/>
        <w:gridCol w:w="583"/>
        <w:gridCol w:w="1562"/>
        <w:gridCol w:w="1426"/>
      </w:tblGrid>
      <w:tr>
        <w:tblPrEx>
          <w:tblCellMar>
            <w:top w:w="0" w:type="dxa"/>
            <w:left w:w="10" w:type="dxa"/>
            <w:bottom w:w="0" w:type="dxa"/>
            <w:right w:w="10" w:type="dxa"/>
          </w:tblCellMar>
        </w:tblPrEx>
        <w:trPr>
          <w:trHeight w:val="720" w:hRule="exact"/>
          <w:jc w:val="center"/>
        </w:trPr>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30" w:lineRule="exact"/>
              <w:ind w:left="0" w:right="0" w:firstLine="0"/>
              <w:jc w:val="both"/>
              <w:rPr>
                <w:sz w:val="16"/>
                <w:szCs w:val="16"/>
              </w:rPr>
            </w:pPr>
            <w:r>
              <w:rPr>
                <w:color w:val="000000"/>
                <w:spacing w:val="0"/>
                <w:w w:val="100"/>
                <w:position w:val="0"/>
                <w:sz w:val="16"/>
                <w:szCs w:val="16"/>
              </w:rPr>
              <w:t>一级 指标</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30" w:lineRule="exact"/>
              <w:ind w:left="0" w:right="0" w:firstLine="0"/>
              <w:jc w:val="left"/>
              <w:rPr>
                <w:sz w:val="16"/>
                <w:szCs w:val="16"/>
              </w:rPr>
            </w:pPr>
            <w:r>
              <w:rPr>
                <w:color w:val="000000"/>
                <w:spacing w:val="0"/>
                <w:w w:val="100"/>
                <w:position w:val="0"/>
                <w:sz w:val="16"/>
                <w:szCs w:val="16"/>
              </w:rPr>
              <w:t>二级 招标</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23" w:lineRule="exact"/>
              <w:ind w:left="0" w:right="0" w:firstLine="0"/>
              <w:jc w:val="both"/>
              <w:rPr>
                <w:sz w:val="16"/>
                <w:szCs w:val="16"/>
              </w:rPr>
            </w:pPr>
            <w:r>
              <w:rPr>
                <w:color w:val="000000"/>
                <w:spacing w:val="0"/>
                <w:w w:val="100"/>
                <w:position w:val="0"/>
                <w:sz w:val="16"/>
                <w:szCs w:val="16"/>
              </w:rPr>
              <w:t>三级 指标</w:t>
            </w:r>
          </w:p>
        </w:tc>
        <w:tc>
          <w:tcPr>
            <w:tcW w:w="331" w:type="dxa"/>
            <w:tcBorders>
              <w:top w:val="single" w:color="auto" w:sz="4" w:space="0"/>
              <w:left w:val="single" w:color="auto" w:sz="4" w:space="0"/>
            </w:tcBorders>
            <w:shd w:val="clear" w:color="auto" w:fill="FFFFFF"/>
            <w:textDirection w:val="tbRlV"/>
            <w:vAlign w:val="bottom"/>
          </w:tcPr>
          <w:p>
            <w:pPr>
              <w:pStyle w:val="14"/>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3312" w:type="dxa"/>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指标说明</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评分标准</w:t>
            </w:r>
          </w:p>
        </w:tc>
        <w:tc>
          <w:tcPr>
            <w:tcBorders>
              <w:top w:val="single" w:color="auto" w:sz="4" w:space="0"/>
              <w:left w:val="single" w:color="auto" w:sz="4" w:space="0"/>
            </w:tcBorders>
            <w:shd w:val="clear" w:color="auto" w:fill="FFFFFF"/>
            <w:vAlign w:val="bottom"/>
          </w:tcPr>
          <w:p>
            <w:pPr>
              <w:pStyle w:val="12"/>
              <w:keepNext w:val="0"/>
              <w:keepLines w:val="0"/>
              <w:widowControl w:val="0"/>
              <w:shd w:val="clear" w:color="auto" w:fill="auto"/>
              <w:bidi w:val="0"/>
              <w:spacing w:before="0" w:after="0" w:line="216" w:lineRule="exact"/>
              <w:ind w:left="0" w:right="0" w:firstLine="0"/>
              <w:jc w:val="center"/>
              <w:rPr>
                <w:sz w:val="16"/>
                <w:szCs w:val="16"/>
              </w:rPr>
            </w:pPr>
            <w:r>
              <w:rPr>
                <w:color w:val="000000"/>
                <w:spacing w:val="0"/>
                <w:w w:val="100"/>
                <w:position w:val="0"/>
                <w:sz w:val="16"/>
                <w:szCs w:val="16"/>
              </w:rPr>
              <w:t>指标值计算 公式和数据 获取方式</w:t>
            </w:r>
          </w:p>
        </w:tc>
        <w:tc>
          <w:tcPr>
            <w:tcW w:w="713" w:type="dxa"/>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23" w:lineRule="exact"/>
              <w:ind w:left="0" w:right="0" w:firstLine="0"/>
              <w:jc w:val="center"/>
              <w:rPr>
                <w:sz w:val="16"/>
                <w:szCs w:val="16"/>
              </w:rPr>
            </w:pPr>
            <w:r>
              <w:rPr>
                <w:color w:val="000000"/>
                <w:spacing w:val="0"/>
                <w:w w:val="100"/>
                <w:position w:val="0"/>
                <w:sz w:val="16"/>
                <w:szCs w:val="16"/>
              </w:rPr>
              <w:t>年初目 标值</w:t>
            </w:r>
          </w:p>
        </w:tc>
        <w:tc>
          <w:tcPr>
            <w:tcW w:w="713" w:type="dxa"/>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实际完</w:t>
            </w:r>
          </w:p>
          <w:p>
            <w:pPr>
              <w:pStyle w:val="12"/>
              <w:keepNext w:val="0"/>
              <w:keepLines w:val="0"/>
              <w:widowControl w:val="0"/>
              <w:shd w:val="clear" w:color="auto" w:fill="auto"/>
              <w:bidi w:val="0"/>
              <w:spacing w:before="0" w:after="0" w:line="240" w:lineRule="auto"/>
              <w:ind w:left="0" w:right="180" w:firstLine="0"/>
              <w:jc w:val="right"/>
              <w:rPr>
                <w:sz w:val="16"/>
                <w:szCs w:val="16"/>
              </w:rPr>
            </w:pPr>
            <w:r>
              <w:rPr>
                <w:color w:val="000000"/>
                <w:spacing w:val="0"/>
                <w:w w:val="100"/>
                <w:position w:val="0"/>
                <w:sz w:val="16"/>
                <w:szCs w:val="16"/>
              </w:rPr>
              <w:t>成值</w:t>
            </w:r>
          </w:p>
        </w:tc>
        <w:tc>
          <w:tcPr>
            <w:tcW w:w="583" w:type="dxa"/>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40" w:lineRule="auto"/>
              <w:ind w:left="0" w:right="0" w:firstLine="0"/>
              <w:jc w:val="right"/>
              <w:rPr>
                <w:sz w:val="16"/>
                <w:szCs w:val="16"/>
              </w:rPr>
            </w:pPr>
            <w:r>
              <w:rPr>
                <w:color w:val="000000"/>
                <w:spacing w:val="0"/>
                <w:w w:val="100"/>
                <w:position w:val="0"/>
                <w:sz w:val="16"/>
                <w:szCs w:val="16"/>
              </w:rPr>
              <w:t>得分</w:t>
            </w:r>
          </w:p>
        </w:tc>
        <w:tc>
          <w:tcPr>
            <w:tcW w:w="1562" w:type="dxa"/>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23" w:lineRule="exact"/>
              <w:ind w:left="0" w:right="0" w:firstLine="0"/>
              <w:jc w:val="center"/>
              <w:rPr>
                <w:sz w:val="16"/>
                <w:szCs w:val="16"/>
              </w:rPr>
            </w:pPr>
            <w:r>
              <w:rPr>
                <w:color w:val="000000"/>
                <w:spacing w:val="0"/>
                <w:w w:val="100"/>
                <w:position w:val="0"/>
                <w:sz w:val="16"/>
                <w:szCs w:val="16"/>
              </w:rPr>
              <w:t>未完成原因分析 与改进措施</w:t>
            </w:r>
          </w:p>
        </w:tc>
        <w:tc>
          <w:tcPr>
            <w:tcBorders>
              <w:top w:val="single" w:color="auto" w:sz="4" w:space="0"/>
              <w:left w:val="single" w:color="auto" w:sz="4" w:space="0"/>
              <w:right w:val="single" w:color="auto" w:sz="4" w:space="0"/>
            </w:tcBorders>
            <w:shd w:val="clear" w:color="auto" w:fill="FFFFFF"/>
            <w:vAlign w:val="center"/>
          </w:tcPr>
          <w:p>
            <w:pPr>
              <w:pStyle w:val="12"/>
              <w:keepNext w:val="0"/>
              <w:keepLines w:val="0"/>
              <w:widowControl w:val="0"/>
              <w:shd w:val="clear" w:color="auto" w:fill="auto"/>
              <w:bidi w:val="0"/>
              <w:spacing w:before="0" w:after="0" w:line="216" w:lineRule="exact"/>
              <w:ind w:left="0" w:right="0" w:firstLine="0"/>
              <w:jc w:val="center"/>
              <w:rPr>
                <w:sz w:val="16"/>
                <w:szCs w:val="16"/>
              </w:rPr>
            </w:pPr>
            <w:r>
              <w:rPr>
                <w:color w:val="000000"/>
                <w:spacing w:val="0"/>
                <w:w w:val="100"/>
                <w:position w:val="0"/>
                <w:sz w:val="16"/>
                <w:szCs w:val="16"/>
              </w:rPr>
              <w:t>绩效指标分析 与建议</w:t>
            </w:r>
          </w:p>
        </w:tc>
      </w:tr>
      <w:tr>
        <w:tblPrEx>
          <w:tblCellMar>
            <w:top w:w="0" w:type="dxa"/>
            <w:left w:w="10" w:type="dxa"/>
            <w:bottom w:w="0" w:type="dxa"/>
            <w:right w:w="10" w:type="dxa"/>
          </w:tblCellMar>
        </w:tblPrEx>
        <w:trPr>
          <w:trHeight w:val="2520" w:hRule="exact"/>
          <w:jc w:val="center"/>
        </w:trPr>
        <w:tc>
          <w:tcPr>
            <w:tcBorders>
              <w:top w:val="single" w:color="auto" w:sz="4" w:space="0"/>
              <w:left w:val="single" w:color="auto" w:sz="4" w:space="0"/>
            </w:tcBorders>
            <w:shd w:val="clear" w:color="auto" w:fill="FFFFFF"/>
            <w:vAlign w:val="center"/>
          </w:tcPr>
          <w:p>
            <w:pPr>
              <w:pStyle w:val="1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过程</w:t>
            </w:r>
          </w:p>
        </w:tc>
        <w:tc>
          <w:tcPr>
            <w:tcBorders>
              <w:top w:val="single" w:color="auto" w:sz="4" w:space="0"/>
              <w:left w:val="single" w:color="auto" w:sz="4" w:space="0"/>
            </w:tcBorders>
            <w:shd w:val="clear" w:color="auto" w:fill="FFFFFF"/>
            <w:vAlign w:val="center"/>
          </w:tcPr>
          <w:p>
            <w:pPr>
              <w:pStyle w:val="14"/>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6"/>
                <w:szCs w:val="16"/>
              </w:rPr>
              <w:t>管</w:t>
            </w:r>
            <w:r>
              <w:rPr>
                <w:b/>
                <w:bCs/>
                <w:color w:val="000000"/>
                <w:spacing w:val="0"/>
                <w:w w:val="100"/>
                <w:position w:val="0"/>
                <w:sz w:val="18"/>
                <w:szCs w:val="18"/>
              </w:rPr>
              <w:t>15</w:t>
            </w:r>
          </w:p>
          <w:p>
            <w:pPr>
              <w:pStyle w:val="14"/>
              <w:keepNext w:val="0"/>
              <w:keepLines w:val="0"/>
              <w:widowControl w:val="0"/>
              <w:shd w:val="clear" w:color="auto" w:fill="auto"/>
              <w:bidi w:val="0"/>
              <w:spacing w:before="0" w:after="0" w:line="202" w:lineRule="exact"/>
              <w:ind w:left="0" w:right="0" w:firstLine="0"/>
              <w:jc w:val="center"/>
            </w:pPr>
            <w:r>
              <w:rPr>
                <w:color w:val="000000"/>
                <w:spacing w:val="0"/>
                <w:w w:val="100"/>
                <w:position w:val="0"/>
              </w:rPr>
              <w:t>算</w:t>
            </w:r>
            <w:r>
              <w:rPr>
                <w:b/>
                <w:bCs/>
                <w:color w:val="000000"/>
                <w:spacing w:val="0"/>
                <w:w w:val="100"/>
                <w:position w:val="0"/>
                <w:sz w:val="18"/>
                <w:szCs w:val="18"/>
              </w:rPr>
              <w:t xml:space="preserve">1 &gt; </w:t>
            </w:r>
            <w:r>
              <w:rPr>
                <w:color w:val="000000"/>
                <w:spacing w:val="0"/>
                <w:w w:val="100"/>
                <w:position w:val="0"/>
              </w:rPr>
              <w:t>预理分</w:t>
            </w:r>
          </w:p>
        </w:tc>
        <w:tc>
          <w:tcPr>
            <w:tcBorders>
              <w:top w:val="single" w:color="auto" w:sz="4" w:space="0"/>
              <w:left w:val="single" w:color="auto" w:sz="4" w:space="0"/>
            </w:tcBorders>
            <w:shd w:val="clear" w:color="auto" w:fill="FFFFFF"/>
            <w:vAlign w:val="center"/>
          </w:tcPr>
          <w:p>
            <w:pPr>
              <w:pStyle w:val="14"/>
              <w:keepNext w:val="0"/>
              <w:keepLines w:val="0"/>
              <w:widowControl w:val="0"/>
              <w:shd w:val="clear" w:color="auto" w:fill="auto"/>
              <w:bidi w:val="0"/>
              <w:spacing w:before="0" w:after="0" w:line="187" w:lineRule="exact"/>
              <w:ind w:left="0" w:right="0" w:firstLine="0"/>
              <w:jc w:val="center"/>
            </w:pPr>
            <w:r>
              <w:rPr>
                <w:color w:val="000000"/>
                <w:spacing w:val="0"/>
                <w:w w:val="100"/>
                <w:position w:val="0"/>
              </w:rPr>
              <w:t xml:space="preserve">金用规 </w:t>
            </w:r>
            <w:r>
              <w:rPr>
                <w:b/>
                <w:bCs/>
                <w:color w:val="000000"/>
                <w:spacing w:val="0"/>
                <w:w w:val="100"/>
                <w:position w:val="0"/>
                <w:sz w:val="18"/>
                <w:szCs w:val="18"/>
              </w:rPr>
              <w:t xml:space="preserve">5 ) </w:t>
            </w:r>
            <w:r>
              <w:rPr>
                <w:color w:val="000000"/>
                <w:spacing w:val="0"/>
                <w:w w:val="100"/>
                <w:position w:val="0"/>
              </w:rPr>
              <w:t>资使合</w:t>
            </w:r>
            <w:r>
              <w:rPr>
                <w:color w:val="000000"/>
                <w:spacing w:val="0"/>
                <w:w w:val="100"/>
                <w:position w:val="0"/>
                <w:u w:val="single"/>
              </w:rPr>
              <w:t>性 &lt; 分</w:t>
            </w:r>
          </w:p>
        </w:tc>
        <w:tc>
          <w:tcPr>
            <w:tcW w:w="331" w:type="dxa"/>
            <w:tcBorders>
              <w:top w:val="single" w:color="auto" w:sz="4" w:space="0"/>
              <w:left w:val="single" w:color="auto" w:sz="4" w:space="0"/>
            </w:tcBorders>
            <w:shd w:val="clear" w:color="auto" w:fill="FFFFFF"/>
            <w:vAlign w:val="center"/>
          </w:tcPr>
          <w:p>
            <w:pPr>
              <w:pStyle w:val="14"/>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5</w:t>
            </w:r>
          </w:p>
        </w:tc>
        <w:tc>
          <w:tcPr>
            <w:tcW w:w="3312" w:type="dxa"/>
            <w:tcBorders>
              <w:top w:val="single" w:color="auto" w:sz="4" w:space="0"/>
              <w:left w:val="single" w:color="auto" w:sz="4" w:space="0"/>
            </w:tcBorders>
            <w:shd w:val="clear" w:color="auto" w:fill="FFFFFF"/>
            <w:vAlign w:val="bottom"/>
          </w:tcPr>
          <w:p>
            <w:pPr>
              <w:pStyle w:val="12"/>
              <w:keepNext w:val="0"/>
              <w:keepLines w:val="0"/>
              <w:widowControl w:val="0"/>
              <w:shd w:val="clear" w:color="auto" w:fill="auto"/>
              <w:bidi w:val="0"/>
              <w:spacing w:before="0" w:after="0" w:line="211" w:lineRule="exact"/>
              <w:ind w:left="0" w:right="0" w:firstLine="0"/>
              <w:jc w:val="left"/>
              <w:rPr>
                <w:sz w:val="16"/>
                <w:szCs w:val="16"/>
              </w:rPr>
            </w:pPr>
            <w:r>
              <w:rPr>
                <w:color w:val="000000"/>
                <w:spacing w:val="0"/>
                <w:w w:val="100"/>
                <w:position w:val="0"/>
                <w:sz w:val="16"/>
                <w:szCs w:val="16"/>
              </w:rPr>
              <w:t>部门（单位）使用预算资金是否符合相 关的预算财务管理制度的规定，用以反 映和考核部门（单位）预算资金的规范 运行情况.</w:t>
            </w:r>
          </w:p>
          <w:p>
            <w:pPr>
              <w:pStyle w:val="12"/>
              <w:keepNext w:val="0"/>
              <w:keepLines w:val="0"/>
              <w:widowControl w:val="0"/>
              <w:numPr>
                <w:ilvl w:val="0"/>
                <w:numId w:val="4"/>
              </w:numPr>
              <w:shd w:val="clear" w:color="auto" w:fill="auto"/>
              <w:tabs>
                <w:tab w:val="left" w:pos="166"/>
              </w:tabs>
              <w:bidi w:val="0"/>
              <w:spacing w:before="0" w:after="0" w:line="211" w:lineRule="exact"/>
              <w:ind w:left="0" w:right="0" w:firstLine="0"/>
              <w:jc w:val="left"/>
              <w:rPr>
                <w:sz w:val="16"/>
                <w:szCs w:val="16"/>
              </w:rPr>
            </w:pPr>
            <w:r>
              <w:rPr>
                <w:color w:val="000000"/>
                <w:spacing w:val="0"/>
                <w:w w:val="100"/>
                <w:position w:val="0"/>
                <w:sz w:val="16"/>
                <w:szCs w:val="16"/>
              </w:rPr>
              <w:t>符合国家财经法规和财务管理制度规 定以及有关专项资金管理办法的规定；</w:t>
            </w:r>
          </w:p>
          <w:p>
            <w:pPr>
              <w:pStyle w:val="12"/>
              <w:keepNext w:val="0"/>
              <w:keepLines w:val="0"/>
              <w:widowControl w:val="0"/>
              <w:numPr>
                <w:ilvl w:val="0"/>
                <w:numId w:val="4"/>
              </w:numPr>
              <w:shd w:val="clear" w:color="auto" w:fill="auto"/>
              <w:tabs>
                <w:tab w:val="left" w:pos="180"/>
              </w:tabs>
              <w:bidi w:val="0"/>
              <w:spacing w:before="0" w:after="0" w:line="211" w:lineRule="exact"/>
              <w:ind w:left="0" w:right="0" w:firstLine="0"/>
              <w:jc w:val="left"/>
              <w:rPr>
                <w:sz w:val="16"/>
                <w:szCs w:val="16"/>
              </w:rPr>
            </w:pPr>
            <w:r>
              <w:rPr>
                <w:color w:val="000000"/>
                <w:spacing w:val="0"/>
                <w:w w:val="100"/>
                <w:position w:val="0"/>
                <w:sz w:val="16"/>
                <w:szCs w:val="16"/>
              </w:rPr>
              <w:t>资金的拨付有完整的审批程序和手 续；</w:t>
            </w:r>
          </w:p>
          <w:p>
            <w:pPr>
              <w:pStyle w:val="12"/>
              <w:keepNext w:val="0"/>
              <w:keepLines w:val="0"/>
              <w:widowControl w:val="0"/>
              <w:numPr>
                <w:ilvl w:val="0"/>
                <w:numId w:val="4"/>
              </w:numPr>
              <w:shd w:val="clear" w:color="auto" w:fill="auto"/>
              <w:tabs>
                <w:tab w:val="left" w:pos="173"/>
              </w:tabs>
              <w:bidi w:val="0"/>
              <w:spacing w:before="0" w:after="0" w:line="211" w:lineRule="exact"/>
              <w:ind w:left="0" w:right="0" w:firstLine="0"/>
              <w:jc w:val="left"/>
              <w:rPr>
                <w:sz w:val="16"/>
                <w:szCs w:val="16"/>
              </w:rPr>
            </w:pPr>
            <w:r>
              <w:rPr>
                <w:color w:val="000000"/>
                <w:spacing w:val="0"/>
                <w:w w:val="100"/>
                <w:position w:val="0"/>
                <w:sz w:val="16"/>
                <w:szCs w:val="16"/>
              </w:rPr>
              <w:t>章大项目开支经过评估论证；</w:t>
            </w:r>
          </w:p>
          <w:p>
            <w:pPr>
              <w:pStyle w:val="12"/>
              <w:keepNext w:val="0"/>
              <w:keepLines w:val="0"/>
              <w:widowControl w:val="0"/>
              <w:numPr>
                <w:ilvl w:val="0"/>
                <w:numId w:val="4"/>
              </w:numPr>
              <w:shd w:val="clear" w:color="auto" w:fill="auto"/>
              <w:tabs>
                <w:tab w:val="left" w:pos="166"/>
              </w:tabs>
              <w:bidi w:val="0"/>
              <w:spacing w:before="0" w:after="0" w:line="211" w:lineRule="exact"/>
              <w:ind w:left="0" w:right="0" w:firstLine="0"/>
              <w:jc w:val="left"/>
              <w:rPr>
                <w:sz w:val="16"/>
                <w:szCs w:val="16"/>
              </w:rPr>
            </w:pPr>
            <w:r>
              <w:rPr>
                <w:color w:val="000000"/>
                <w:spacing w:val="0"/>
                <w:w w:val="100"/>
                <w:position w:val="0"/>
                <w:sz w:val="16"/>
                <w:szCs w:val="16"/>
              </w:rPr>
              <w:t>符合部门预算批复的用途；</w:t>
            </w:r>
          </w:p>
          <w:p>
            <w:pPr>
              <w:pStyle w:val="12"/>
              <w:keepNext w:val="0"/>
              <w:keepLines w:val="0"/>
              <w:widowControl w:val="0"/>
              <w:numPr>
                <w:ilvl w:val="0"/>
                <w:numId w:val="4"/>
              </w:numPr>
              <w:shd w:val="clear" w:color="auto" w:fill="auto"/>
              <w:tabs>
                <w:tab w:val="left" w:pos="187"/>
              </w:tabs>
              <w:bidi w:val="0"/>
              <w:spacing w:before="0" w:after="0" w:line="211" w:lineRule="exact"/>
              <w:ind w:left="0" w:right="0" w:firstLine="0"/>
              <w:jc w:val="left"/>
              <w:rPr>
                <w:sz w:val="16"/>
                <w:szCs w:val="16"/>
              </w:rPr>
            </w:pPr>
            <w:r>
              <w:rPr>
                <w:color w:val="000000"/>
                <w:spacing w:val="0"/>
                <w:w w:val="100"/>
                <w:position w:val="0"/>
                <w:sz w:val="16"/>
                <w:szCs w:val="16"/>
              </w:rPr>
              <w:t>不存在截留、挤占、挪用、虚列支出 等情况.</w:t>
            </w:r>
          </w:p>
        </w:tc>
        <w:tc>
          <w:tcPr>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全部符合</w:t>
            </w:r>
            <w:r>
              <w:rPr>
                <w:b/>
                <w:bCs/>
                <w:color w:val="000000"/>
                <w:spacing w:val="0"/>
                <w:w w:val="100"/>
                <w:position w:val="0"/>
                <w:sz w:val="18"/>
                <w:szCs w:val="18"/>
              </w:rPr>
              <w:t>5</w:t>
            </w:r>
            <w:r>
              <w:rPr>
                <w:color w:val="000000"/>
                <w:spacing w:val="0"/>
                <w:w w:val="100"/>
                <w:position w:val="0"/>
                <w:sz w:val="16"/>
                <w:szCs w:val="16"/>
              </w:rPr>
              <w:t>分，有</w:t>
            </w:r>
            <w:r>
              <w:rPr>
                <w:b/>
                <w:bCs/>
                <w:color w:val="000000"/>
                <w:spacing w:val="0"/>
                <w:w w:val="100"/>
                <w:position w:val="0"/>
                <w:sz w:val="18"/>
                <w:szCs w:val="18"/>
              </w:rPr>
              <w:t>1</w:t>
            </w:r>
            <w:r>
              <w:rPr>
                <w:color w:val="000000"/>
                <w:spacing w:val="0"/>
                <w:w w:val="100"/>
                <w:position w:val="0"/>
                <w:sz w:val="16"/>
                <w:szCs w:val="16"/>
              </w:rPr>
              <w:t>项不符扣</w:t>
            </w:r>
            <w:r>
              <w:rPr>
                <w:b/>
                <w:bCs/>
                <w:color w:val="000000"/>
                <w:spacing w:val="0"/>
                <w:w w:val="100"/>
                <w:position w:val="0"/>
                <w:sz w:val="18"/>
                <w:szCs w:val="18"/>
              </w:rPr>
              <w:t>2</w:t>
            </w:r>
            <w:r>
              <w:rPr>
                <w:color w:val="000000"/>
                <w:spacing w:val="0"/>
                <w:w w:val="100"/>
                <w:position w:val="0"/>
                <w:sz w:val="16"/>
                <w:szCs w:val="16"/>
              </w:rPr>
              <w:t>分.</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color w:val="000000"/>
                <w:sz w:val="15"/>
                <w:szCs w:val="15"/>
              </w:rPr>
              <w:t>全部符合</w:t>
            </w:r>
            <w:r>
              <w:rPr>
                <w:rFonts w:hint="eastAsia" w:ascii="仿宋_GB2312" w:eastAsia="仿宋_GB2312"/>
                <w:b/>
                <w:bCs/>
                <w:color w:val="000000"/>
                <w:sz w:val="15"/>
                <w:szCs w:val="15"/>
              </w:rPr>
              <w:t>5</w:t>
            </w:r>
            <w:r>
              <w:rPr>
                <w:rFonts w:hint="eastAsia" w:ascii="仿宋_GB2312" w:eastAsia="仿宋_GB2312"/>
                <w:color w:val="000000"/>
                <w:sz w:val="15"/>
                <w:szCs w:val="15"/>
              </w:rPr>
              <w:t>分，有</w:t>
            </w:r>
            <w:r>
              <w:rPr>
                <w:rFonts w:hint="eastAsia" w:ascii="仿宋_GB2312" w:eastAsia="仿宋_GB2312"/>
                <w:b/>
                <w:bCs/>
                <w:color w:val="000000"/>
                <w:sz w:val="15"/>
                <w:szCs w:val="15"/>
              </w:rPr>
              <w:t>1</w:t>
            </w:r>
            <w:r>
              <w:rPr>
                <w:rFonts w:hint="eastAsia" w:ascii="仿宋_GB2312" w:eastAsia="仿宋_GB2312"/>
                <w:color w:val="000000"/>
                <w:sz w:val="15"/>
                <w:szCs w:val="15"/>
              </w:rPr>
              <w:t>项不符扣</w:t>
            </w:r>
            <w:r>
              <w:rPr>
                <w:rFonts w:hint="eastAsia" w:ascii="仿宋_GB2312" w:eastAsia="仿宋_GB2312"/>
                <w:b/>
                <w:bCs/>
                <w:color w:val="000000"/>
                <w:sz w:val="15"/>
                <w:szCs w:val="15"/>
              </w:rPr>
              <w:t>2</w:t>
            </w:r>
            <w:r>
              <w:rPr>
                <w:rFonts w:hint="eastAsia" w:ascii="仿宋_GB2312" w:eastAsia="仿宋_GB2312"/>
                <w:color w:val="000000"/>
                <w:sz w:val="15"/>
                <w:szCs w:val="15"/>
              </w:rPr>
              <w:t>分.</w:t>
            </w:r>
          </w:p>
        </w:tc>
        <w:tc>
          <w:tcPr>
            <w:tcW w:w="713" w:type="dxa"/>
            <w:tcBorders>
              <w:top w:val="single" w:color="auto" w:sz="4" w:space="0"/>
              <w:left w:val="single" w:color="auto" w:sz="4" w:space="0"/>
            </w:tcBorders>
            <w:shd w:val="clear" w:color="auto" w:fill="FFFFFF"/>
            <w:vAlign w:val="center"/>
          </w:tcPr>
          <w:p>
            <w:pPr>
              <w:pStyle w:val="12"/>
              <w:spacing w:line="180"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全部符合</w:t>
            </w:r>
          </w:p>
        </w:tc>
        <w:tc>
          <w:tcPr>
            <w:tcW w:w="713" w:type="dxa"/>
            <w:tcBorders>
              <w:top w:val="single" w:color="auto" w:sz="4" w:space="0"/>
              <w:left w:val="single" w:color="auto" w:sz="4" w:space="0"/>
            </w:tcBorders>
            <w:shd w:val="clear" w:color="auto" w:fill="FFFFFF"/>
            <w:vAlign w:val="center"/>
          </w:tcPr>
          <w:p>
            <w:pPr>
              <w:pStyle w:val="12"/>
              <w:spacing w:line="180" w:lineRule="exact"/>
              <w:ind w:firstLine="0" w:firstLineChars="0"/>
              <w:jc w:val="center"/>
              <w:rPr>
                <w:rFonts w:hint="eastAsia" w:ascii="仿宋_GB2312" w:hAnsi="宋体" w:eastAsia="仿宋_GB2312" w:cs="宋体"/>
                <w:sz w:val="15"/>
                <w:szCs w:val="15"/>
                <w:u w:val="none"/>
                <w:shd w:val="clear" w:color="auto" w:fill="auto"/>
                <w:lang w:val="zh-TW" w:eastAsia="zh-TW" w:bidi="zh-TW"/>
              </w:rPr>
            </w:pPr>
            <w:r>
              <w:rPr>
                <w:rFonts w:hint="eastAsia" w:ascii="仿宋_GB2312" w:eastAsia="仿宋_GB2312"/>
                <w:sz w:val="15"/>
                <w:szCs w:val="15"/>
                <w:lang w:eastAsia="zh-CN"/>
              </w:rPr>
              <w:t>全部符合</w:t>
            </w:r>
          </w:p>
        </w:tc>
        <w:tc>
          <w:tcPr>
            <w:tcW w:w="583" w:type="dxa"/>
            <w:tcBorders>
              <w:top w:val="single" w:color="auto" w:sz="4" w:space="0"/>
              <w:left w:val="single" w:color="auto" w:sz="4" w:space="0"/>
            </w:tcBorders>
            <w:shd w:val="clear" w:color="auto" w:fill="FFFFFF"/>
            <w:vAlign w:val="center"/>
          </w:tcPr>
          <w:p>
            <w:pPr>
              <w:widowControl w:val="0"/>
              <w:jc w:val="center"/>
              <w:rPr>
                <w:rFonts w:hint="eastAsia" w:eastAsia="微软雅黑"/>
                <w:sz w:val="10"/>
                <w:szCs w:val="10"/>
                <w:lang w:val="en-US" w:eastAsia="zh-CN"/>
              </w:rPr>
            </w:pPr>
            <w:r>
              <w:rPr>
                <w:rFonts w:hint="eastAsia"/>
                <w:sz w:val="10"/>
                <w:szCs w:val="10"/>
                <w:lang w:val="en-US" w:eastAsia="zh-CN"/>
              </w:rPr>
              <w:t>5</w:t>
            </w:r>
          </w:p>
        </w:tc>
        <w:tc>
          <w:tcPr>
            <w:tcW w:w="1562" w:type="dxa"/>
            <w:tcBorders>
              <w:top w:val="single" w:color="auto" w:sz="4" w:space="0"/>
              <w:left w:val="single" w:color="auto" w:sz="4" w:space="0"/>
            </w:tcBorders>
            <w:shd w:val="clear" w:color="auto" w:fill="FFFFFF"/>
            <w:vAlign w:val="center"/>
          </w:tcPr>
          <w:p>
            <w:pPr>
              <w:widowControl w:val="0"/>
              <w:jc w:val="center"/>
              <w:rPr>
                <w:sz w:val="10"/>
                <w:szCs w:val="10"/>
              </w:rPr>
            </w:pPr>
          </w:p>
        </w:tc>
        <w:tc>
          <w:tcPr>
            <w:tcBorders>
              <w:top w:val="single" w:color="auto" w:sz="4" w:space="0"/>
              <w:left w:val="single" w:color="auto" w:sz="4" w:space="0"/>
              <w:right w:val="single" w:color="auto" w:sz="4" w:space="0"/>
            </w:tcBorders>
            <w:shd w:val="clear" w:color="auto" w:fill="FFFFFF"/>
            <w:vAlign w:val="center"/>
          </w:tcPr>
          <w:p>
            <w:pPr>
              <w:widowControl w:val="0"/>
              <w:jc w:val="center"/>
              <w:rPr>
                <w:sz w:val="10"/>
                <w:szCs w:val="10"/>
              </w:rPr>
            </w:pPr>
          </w:p>
        </w:tc>
      </w:tr>
      <w:tr>
        <w:tblPrEx>
          <w:tblCellMar>
            <w:top w:w="0" w:type="dxa"/>
            <w:left w:w="10" w:type="dxa"/>
            <w:bottom w:w="0" w:type="dxa"/>
            <w:right w:w="10" w:type="dxa"/>
          </w:tblCellMar>
        </w:tblPrEx>
        <w:trPr>
          <w:trHeight w:val="1426" w:hRule="exact"/>
          <w:jc w:val="center"/>
        </w:trPr>
        <w:tc>
          <w:tcPr>
            <w:vMerge w:val="restart"/>
            <w:tcBorders>
              <w:top w:val="single" w:color="auto" w:sz="4" w:space="0"/>
              <w:left w:val="single" w:color="auto" w:sz="4" w:space="0"/>
            </w:tcBorders>
            <w:shd w:val="clear" w:color="auto" w:fill="FFFFFF"/>
            <w:vAlign w:val="center"/>
          </w:tcPr>
          <w:p>
            <w:pPr>
              <w:pStyle w:val="14"/>
              <w:keepNext w:val="0"/>
              <w:keepLines w:val="0"/>
              <w:widowControl w:val="0"/>
              <w:shd w:val="clear" w:color="auto" w:fill="auto"/>
              <w:bidi w:val="0"/>
              <w:spacing w:before="0" w:after="0" w:line="240" w:lineRule="auto"/>
              <w:ind w:left="0" w:right="0" w:firstLine="0"/>
              <w:jc w:val="center"/>
              <w:rPr>
                <w:color w:val="000000"/>
                <w:spacing w:val="0"/>
                <w:w w:val="100"/>
                <w:position w:val="0"/>
              </w:rPr>
            </w:pPr>
            <w:r>
              <w:rPr>
                <w:color w:val="000000"/>
                <w:spacing w:val="0"/>
                <w:w w:val="100"/>
                <w:position w:val="0"/>
              </w:rPr>
              <w:t>效果</w:t>
            </w:r>
          </w:p>
        </w:tc>
        <w:tc>
          <w:tcPr>
            <w:vMerge w:val="restart"/>
            <w:tcBorders>
              <w:top w:val="single" w:color="auto" w:sz="4" w:space="0"/>
              <w:left w:val="single" w:color="auto" w:sz="4" w:space="0"/>
            </w:tcBorders>
            <w:shd w:val="clear" w:color="auto" w:fill="FFFFFF"/>
            <w:vAlign w:val="center"/>
          </w:tcPr>
          <w:p>
            <w:pPr>
              <w:pStyle w:val="14"/>
              <w:keepNext w:val="0"/>
              <w:keepLines w:val="0"/>
              <w:widowControl w:val="0"/>
              <w:shd w:val="clear" w:color="auto" w:fill="auto"/>
              <w:bidi w:val="0"/>
              <w:spacing w:before="0" w:after="0" w:line="240" w:lineRule="auto"/>
              <w:ind w:left="0" w:right="0" w:firstLine="0"/>
              <w:jc w:val="center"/>
              <w:rPr>
                <w:color w:val="000000"/>
                <w:spacing w:val="0"/>
                <w:w w:val="100"/>
                <w:position w:val="0"/>
              </w:rPr>
            </w:pPr>
            <w:r>
              <w:rPr>
                <w:color w:val="000000"/>
                <w:spacing w:val="0"/>
                <w:w w:val="100"/>
                <w:position w:val="0"/>
              </w:rPr>
              <w:t>履职尽 责（60 分）</w:t>
            </w:r>
          </w:p>
        </w:tc>
        <w:tc>
          <w:tcPr>
            <w:tcBorders>
              <w:top w:val="single" w:color="auto" w:sz="4" w:space="0"/>
              <w:left w:val="single" w:color="auto" w:sz="4" w:space="0"/>
            </w:tcBorders>
            <w:shd w:val="clear" w:color="auto" w:fill="FFFFFF"/>
            <w:vAlign w:val="center"/>
          </w:tcPr>
          <w:p>
            <w:pPr>
              <w:pStyle w:val="14"/>
              <w:keepNext w:val="0"/>
              <w:keepLines w:val="0"/>
              <w:widowControl w:val="0"/>
              <w:shd w:val="clear" w:color="auto" w:fill="auto"/>
              <w:bidi w:val="0"/>
              <w:spacing w:before="0" w:after="0" w:line="240" w:lineRule="auto"/>
              <w:ind w:left="0" w:right="0" w:firstLine="0"/>
              <w:jc w:val="center"/>
              <w:rPr>
                <w:color w:val="000000"/>
                <w:spacing w:val="0"/>
                <w:w w:val="100"/>
                <w:position w:val="0"/>
              </w:rPr>
            </w:pPr>
            <w:r>
              <w:rPr>
                <w:color w:val="000000"/>
                <w:spacing w:val="0"/>
                <w:w w:val="100"/>
                <w:position w:val="0"/>
              </w:rPr>
              <w:t>目出40&gt; 项产{分</w:t>
            </w:r>
          </w:p>
        </w:tc>
        <w:tc>
          <w:tcPr>
            <w:tcW w:w="331" w:type="dxa"/>
            <w:tcBorders>
              <w:top w:val="single" w:color="auto" w:sz="4" w:space="0"/>
              <w:left w:val="single" w:color="auto" w:sz="4" w:space="0"/>
            </w:tcBorders>
            <w:shd w:val="clear" w:color="auto" w:fill="FFFFFF"/>
            <w:vAlign w:val="center"/>
          </w:tcPr>
          <w:p>
            <w:pPr>
              <w:pStyle w:val="14"/>
              <w:keepNext w:val="0"/>
              <w:keepLines w:val="0"/>
              <w:widowControl w:val="0"/>
              <w:shd w:val="clear" w:color="auto" w:fill="auto"/>
              <w:bidi w:val="0"/>
              <w:spacing w:before="0" w:after="0" w:line="240" w:lineRule="auto"/>
              <w:ind w:left="0" w:right="0" w:firstLine="0"/>
              <w:jc w:val="center"/>
              <w:rPr>
                <w:color w:val="000000"/>
                <w:spacing w:val="0"/>
                <w:w w:val="100"/>
                <w:position w:val="0"/>
              </w:rPr>
            </w:pPr>
            <w:r>
              <w:rPr>
                <w:color w:val="000000"/>
                <w:spacing w:val="0"/>
                <w:w w:val="100"/>
                <w:position w:val="0"/>
              </w:rPr>
              <w:t>40</w:t>
            </w:r>
          </w:p>
        </w:tc>
        <w:tc>
          <w:tcPr>
            <w:tcW w:w="3312" w:type="dxa"/>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sz w:val="15"/>
                <w:szCs w:val="15"/>
                <w:lang w:eastAsia="zh-CN"/>
              </w:rPr>
              <w:t>数量指标（5分）</w:t>
            </w:r>
          </w:p>
        </w:tc>
        <w:tc>
          <w:tcPr>
            <w:vMerge w:val="restart"/>
            <w:tcBorders>
              <w:top w:val="single" w:color="auto" w:sz="4" w:space="0"/>
              <w:left w:val="single" w:color="auto" w:sz="4" w:space="0"/>
            </w:tcBorders>
            <w:shd w:val="clear" w:color="auto" w:fill="FFFFFF"/>
            <w:vAlign w:val="center"/>
          </w:tcPr>
          <w:p>
            <w:pPr>
              <w:pStyle w:val="12"/>
              <w:keepNext w:val="0"/>
              <w:keepLines w:val="0"/>
              <w:widowControl w:val="0"/>
              <w:numPr>
                <w:ilvl w:val="0"/>
                <w:numId w:val="5"/>
              </w:numPr>
              <w:shd w:val="clear" w:color="auto" w:fill="auto"/>
              <w:tabs>
                <w:tab w:val="left" w:pos="187"/>
              </w:tabs>
              <w:bidi w:val="0"/>
              <w:spacing w:before="0" w:after="0" w:line="209" w:lineRule="exact"/>
              <w:ind w:left="0" w:right="0" w:firstLine="0"/>
              <w:jc w:val="both"/>
              <w:rPr>
                <w:sz w:val="16"/>
                <w:szCs w:val="16"/>
              </w:rPr>
            </w:pPr>
            <w:r>
              <w:rPr>
                <w:color w:val="000000"/>
                <w:spacing w:val="0"/>
                <w:w w:val="100"/>
                <w:position w:val="0"/>
                <w:sz w:val="16"/>
                <w:szCs w:val="16"/>
              </w:rPr>
              <w:t>若为定性指标，根据</w:t>
            </w:r>
            <w:r>
              <w:rPr>
                <w:color w:val="000000"/>
                <w:spacing w:val="0"/>
                <w:w w:val="100"/>
                <w:position w:val="0"/>
                <w:sz w:val="16"/>
                <w:szCs w:val="16"/>
                <w:lang w:val="zh-CN" w:eastAsia="zh-CN" w:bidi="zh-CN"/>
              </w:rPr>
              <w:t>“三</w:t>
            </w:r>
            <w:r>
              <w:rPr>
                <w:color w:val="000000"/>
                <w:spacing w:val="0"/>
                <w:w w:val="100"/>
                <w:position w:val="0"/>
                <w:sz w:val="16"/>
                <w:szCs w:val="16"/>
              </w:rPr>
              <w:t>档” 原则分别按照指标分值的</w:t>
            </w:r>
            <w:r>
              <w:rPr>
                <w:b/>
                <w:bCs/>
                <w:color w:val="000000"/>
                <w:spacing w:val="0"/>
                <w:w w:val="100"/>
                <w:position w:val="0"/>
                <w:sz w:val="18"/>
                <w:szCs w:val="18"/>
              </w:rPr>
              <w:t xml:space="preserve">10 </w:t>
            </w:r>
            <w:r>
              <w:rPr>
                <w:b/>
                <w:bCs/>
                <w:color w:val="000000"/>
                <w:spacing w:val="0"/>
                <w:w w:val="100"/>
                <w:position w:val="0"/>
                <w:sz w:val="18"/>
                <w:szCs w:val="18"/>
                <w:lang w:val="en-US" w:eastAsia="en-US" w:bidi="en-US"/>
              </w:rPr>
              <w:t xml:space="preserve">0- </w:t>
            </w:r>
            <w:r>
              <w:rPr>
                <w:b/>
                <w:bCs/>
                <w:color w:val="000000"/>
                <w:spacing w:val="0"/>
                <w:w w:val="100"/>
                <w:position w:val="0"/>
                <w:sz w:val="18"/>
                <w:szCs w:val="18"/>
              </w:rPr>
              <w:t>80% （</w:t>
            </w:r>
            <w:r>
              <w:rPr>
                <w:color w:val="000000"/>
                <w:spacing w:val="0"/>
                <w:w w:val="100"/>
                <w:position w:val="0"/>
                <w:sz w:val="16"/>
                <w:szCs w:val="16"/>
              </w:rPr>
              <w:t>含）、</w:t>
            </w:r>
            <w:r>
              <w:rPr>
                <w:b/>
                <w:bCs/>
                <w:color w:val="000000"/>
                <w:spacing w:val="0"/>
                <w:w w:val="100"/>
                <w:position w:val="0"/>
                <w:sz w:val="18"/>
                <w:szCs w:val="18"/>
              </w:rPr>
              <w:t xml:space="preserve">80-50% </w:t>
            </w:r>
            <w:r>
              <w:rPr>
                <w:color w:val="000000"/>
                <w:spacing w:val="0"/>
                <w:w w:val="100"/>
                <w:position w:val="0"/>
                <w:sz w:val="16"/>
                <w:szCs w:val="16"/>
              </w:rPr>
              <w:t>（含）、</w:t>
            </w:r>
            <w:r>
              <w:rPr>
                <w:b/>
                <w:bCs/>
                <w:color w:val="000000"/>
                <w:spacing w:val="0"/>
                <w:w w:val="100"/>
                <w:position w:val="0"/>
                <w:sz w:val="18"/>
                <w:szCs w:val="18"/>
                <w:lang w:val="en-US" w:eastAsia="en-US" w:bidi="en-US"/>
              </w:rPr>
              <w:t xml:space="preserve">50- </w:t>
            </w:r>
            <w:r>
              <w:rPr>
                <w:b/>
                <w:bCs/>
                <w:color w:val="000000"/>
                <w:spacing w:val="0"/>
                <w:w w:val="100"/>
                <w:position w:val="0"/>
                <w:sz w:val="18"/>
                <w:szCs w:val="18"/>
              </w:rPr>
              <w:t>10%</w:t>
            </w:r>
            <w:r>
              <w:rPr>
                <w:color w:val="000000"/>
                <w:spacing w:val="0"/>
                <w:w w:val="100"/>
                <w:position w:val="0"/>
                <w:sz w:val="16"/>
                <w:szCs w:val="16"/>
              </w:rPr>
              <w:t>来记分；</w:t>
            </w:r>
          </w:p>
          <w:p>
            <w:pPr>
              <w:pStyle w:val="12"/>
              <w:keepNext w:val="0"/>
              <w:keepLines w:val="0"/>
              <w:widowControl w:val="0"/>
              <w:numPr>
                <w:ilvl w:val="0"/>
                <w:numId w:val="5"/>
              </w:numPr>
              <w:shd w:val="clear" w:color="auto" w:fill="auto"/>
              <w:tabs>
                <w:tab w:val="left" w:pos="187"/>
              </w:tabs>
              <w:bidi w:val="0"/>
              <w:spacing w:before="0" w:after="0" w:line="209" w:lineRule="exact"/>
              <w:ind w:left="0" w:right="0" w:firstLine="0"/>
              <w:jc w:val="both"/>
              <w:rPr>
                <w:sz w:val="16"/>
                <w:szCs w:val="16"/>
              </w:rPr>
            </w:pPr>
            <w:r>
              <w:rPr>
                <w:color w:val="000000"/>
                <w:spacing w:val="0"/>
                <w:w w:val="100"/>
                <w:position w:val="0"/>
                <w:sz w:val="16"/>
                <w:szCs w:val="16"/>
              </w:rPr>
              <w:t>若为定量指标，完成值达到指 标值，记满分；未达到指标值， 按完成比率计分，正向指标（即 指标值为</w:t>
            </w:r>
            <w:r>
              <w:rPr>
                <w:color w:val="000000"/>
                <w:spacing w:val="0"/>
                <w:w w:val="100"/>
                <w:position w:val="0"/>
                <w:sz w:val="16"/>
                <w:szCs w:val="16"/>
                <w:lang w:val="en-US" w:eastAsia="en-US" w:bidi="en-US"/>
              </w:rPr>
              <w:t>＞*）</w:t>
            </w:r>
            <w:r>
              <w:rPr>
                <w:color w:val="000000"/>
                <w:spacing w:val="0"/>
                <w:w w:val="100"/>
                <w:position w:val="0"/>
                <w:sz w:val="16"/>
                <w:szCs w:val="16"/>
              </w:rPr>
              <w:t>得分=实际完成 值/年初目标值•该指标分值，反 向指标（即指标值为</w:t>
            </w:r>
            <w:r>
              <w:rPr>
                <w:color w:val="000000"/>
                <w:spacing w:val="0"/>
                <w:w w:val="100"/>
                <w:position w:val="0"/>
                <w:sz w:val="16"/>
                <w:szCs w:val="16"/>
                <w:lang w:val="en-US" w:eastAsia="en-US" w:bidi="en-US"/>
              </w:rPr>
              <w:t>＜*）</w:t>
            </w:r>
            <w:r>
              <w:rPr>
                <w:color w:val="000000"/>
                <w:spacing w:val="0"/>
                <w:w w:val="100"/>
                <w:position w:val="0"/>
                <w:sz w:val="16"/>
                <w:szCs w:val="16"/>
              </w:rPr>
              <w:t>得分 =年初目标值/实际完成值*该指 标分值。</w:t>
            </w:r>
          </w:p>
        </w:tc>
        <w:tc>
          <w:tcPr>
            <w:tcBorders>
              <w:top w:val="single" w:color="auto" w:sz="4" w:space="0"/>
              <w:left w:val="single" w:color="auto" w:sz="4" w:space="0"/>
              <w:bottom w:val="single" w:color="auto" w:sz="4" w:space="0"/>
            </w:tcBorders>
            <w:shd w:val="clear" w:color="auto" w:fill="FFFFFF"/>
            <w:vAlign w:val="center"/>
          </w:tcPr>
          <w:p>
            <w:pPr>
              <w:pStyle w:val="12"/>
              <w:spacing w:line="180" w:lineRule="exact"/>
              <w:ind w:firstLine="0" w:firstLineChars="0"/>
              <w:jc w:val="both"/>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机构人员：在职人数；离退休人数</w:t>
            </w:r>
          </w:p>
        </w:tc>
        <w:tc>
          <w:tcPr>
            <w:tcW w:w="713" w:type="dxa"/>
            <w:tcBorders>
              <w:top w:val="single" w:color="auto" w:sz="4" w:space="0"/>
              <w:left w:val="single" w:color="auto" w:sz="4" w:space="0"/>
              <w:bottom w:val="single" w:color="auto" w:sz="4" w:space="0"/>
            </w:tcBorders>
            <w:shd w:val="clear" w:color="auto" w:fill="FFFFFF"/>
            <w:vAlign w:val="center"/>
          </w:tcPr>
          <w:p>
            <w:pPr>
              <w:pStyle w:val="12"/>
              <w:spacing w:line="180" w:lineRule="exact"/>
              <w:ind w:firstLine="0" w:firstLineChars="0"/>
              <w:jc w:val="both"/>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共计</w:t>
            </w:r>
            <w:r>
              <w:rPr>
                <w:rFonts w:hint="eastAsia" w:ascii="仿宋_GB2312" w:eastAsia="仿宋_GB2312"/>
                <w:sz w:val="15"/>
                <w:szCs w:val="15"/>
                <w:lang w:val="en-US" w:eastAsia="zh-CN"/>
              </w:rPr>
              <w:t>45</w:t>
            </w:r>
            <w:r>
              <w:rPr>
                <w:rFonts w:hint="eastAsia" w:ascii="仿宋_GB2312" w:eastAsia="仿宋_GB2312"/>
                <w:sz w:val="15"/>
                <w:szCs w:val="15"/>
                <w:lang w:eastAsia="zh-CN"/>
              </w:rPr>
              <w:t>人；</w:t>
            </w:r>
            <w:r>
              <w:rPr>
                <w:rFonts w:hint="eastAsia" w:ascii="仿宋_GB2312" w:eastAsia="仿宋_GB2312"/>
                <w:sz w:val="15"/>
                <w:szCs w:val="15"/>
                <w:lang w:val="en-US" w:eastAsia="zh-CN"/>
              </w:rPr>
              <w:t>13</w:t>
            </w:r>
            <w:r>
              <w:rPr>
                <w:rFonts w:hint="eastAsia" w:ascii="仿宋_GB2312" w:eastAsia="仿宋_GB2312"/>
                <w:sz w:val="15"/>
                <w:szCs w:val="15"/>
                <w:lang w:eastAsia="zh-CN"/>
              </w:rPr>
              <w:t>人；</w:t>
            </w:r>
            <w:r>
              <w:rPr>
                <w:rFonts w:hint="eastAsia" w:ascii="仿宋_GB2312" w:eastAsia="仿宋_GB2312"/>
                <w:sz w:val="15"/>
                <w:szCs w:val="15"/>
                <w:lang w:val="en-US" w:eastAsia="zh-CN"/>
              </w:rPr>
              <w:t>32</w:t>
            </w:r>
            <w:r>
              <w:rPr>
                <w:rFonts w:hint="eastAsia" w:ascii="仿宋_GB2312" w:eastAsia="仿宋_GB2312"/>
                <w:sz w:val="15"/>
                <w:szCs w:val="15"/>
                <w:lang w:eastAsia="zh-CN"/>
              </w:rPr>
              <w:t>人</w:t>
            </w:r>
          </w:p>
        </w:tc>
        <w:tc>
          <w:tcPr>
            <w:tcW w:w="713" w:type="dxa"/>
            <w:tcBorders>
              <w:top w:val="single" w:color="auto" w:sz="4" w:space="0"/>
              <w:left w:val="single" w:color="auto" w:sz="4" w:space="0"/>
              <w:bottom w:val="single" w:color="auto" w:sz="4" w:space="0"/>
            </w:tcBorders>
            <w:shd w:val="clear" w:color="auto" w:fill="FFFFFF"/>
            <w:vAlign w:val="center"/>
          </w:tcPr>
          <w:p>
            <w:pPr>
              <w:pStyle w:val="12"/>
              <w:spacing w:line="180" w:lineRule="exact"/>
              <w:ind w:firstLine="0" w:firstLineChars="0"/>
              <w:jc w:val="center"/>
              <w:rPr>
                <w:rFonts w:hint="eastAsia" w:ascii="仿宋_GB2312" w:hAnsi="宋体" w:eastAsia="仿宋_GB2312" w:cs="宋体"/>
                <w:sz w:val="15"/>
                <w:szCs w:val="15"/>
                <w:u w:val="none"/>
                <w:shd w:val="clear" w:color="auto" w:fill="auto"/>
                <w:lang w:val="zh-TW" w:eastAsia="zh-TW" w:bidi="zh-TW"/>
              </w:rPr>
            </w:pPr>
            <w:r>
              <w:rPr>
                <w:rFonts w:hint="eastAsia" w:ascii="仿宋_GB2312" w:eastAsia="仿宋_GB2312"/>
                <w:sz w:val="15"/>
                <w:szCs w:val="15"/>
                <w:lang w:eastAsia="zh-CN"/>
              </w:rPr>
              <w:t>共计</w:t>
            </w:r>
            <w:r>
              <w:rPr>
                <w:rFonts w:hint="eastAsia" w:ascii="仿宋_GB2312" w:eastAsia="仿宋_GB2312"/>
                <w:sz w:val="15"/>
                <w:szCs w:val="15"/>
                <w:lang w:val="en-US" w:eastAsia="zh-CN"/>
              </w:rPr>
              <w:t>45</w:t>
            </w:r>
            <w:r>
              <w:rPr>
                <w:rFonts w:hint="eastAsia" w:ascii="仿宋_GB2312" w:eastAsia="仿宋_GB2312"/>
                <w:sz w:val="15"/>
                <w:szCs w:val="15"/>
                <w:lang w:eastAsia="zh-CN"/>
              </w:rPr>
              <w:t>人；</w:t>
            </w:r>
            <w:r>
              <w:rPr>
                <w:rFonts w:hint="eastAsia" w:ascii="仿宋_GB2312" w:eastAsia="仿宋_GB2312"/>
                <w:sz w:val="15"/>
                <w:szCs w:val="15"/>
                <w:lang w:val="en-US" w:eastAsia="zh-CN"/>
              </w:rPr>
              <w:t>13</w:t>
            </w:r>
            <w:r>
              <w:rPr>
                <w:rFonts w:hint="eastAsia" w:ascii="仿宋_GB2312" w:eastAsia="仿宋_GB2312"/>
                <w:sz w:val="15"/>
                <w:szCs w:val="15"/>
                <w:lang w:eastAsia="zh-CN"/>
              </w:rPr>
              <w:t>人；</w:t>
            </w:r>
            <w:r>
              <w:rPr>
                <w:rFonts w:hint="eastAsia" w:ascii="仿宋_GB2312" w:eastAsia="仿宋_GB2312"/>
                <w:sz w:val="15"/>
                <w:szCs w:val="15"/>
                <w:lang w:val="en-US" w:eastAsia="zh-CN"/>
              </w:rPr>
              <w:t>32</w:t>
            </w:r>
            <w:r>
              <w:rPr>
                <w:rFonts w:hint="eastAsia" w:ascii="仿宋_GB2312" w:eastAsia="仿宋_GB2312"/>
                <w:sz w:val="15"/>
                <w:szCs w:val="15"/>
                <w:lang w:eastAsia="zh-CN"/>
              </w:rPr>
              <w:t>人</w:t>
            </w:r>
          </w:p>
        </w:tc>
        <w:tc>
          <w:tcPr>
            <w:tcW w:w="583" w:type="dxa"/>
            <w:tcBorders>
              <w:top w:val="single" w:color="auto" w:sz="4" w:space="0"/>
              <w:left w:val="single" w:color="auto" w:sz="4" w:space="0"/>
              <w:bottom w:val="single" w:color="auto" w:sz="4" w:space="0"/>
            </w:tcBorders>
            <w:shd w:val="clear" w:color="auto" w:fill="FFFFFF"/>
            <w:vAlign w:val="center"/>
          </w:tcPr>
          <w:p>
            <w:pPr>
              <w:widowControl w:val="0"/>
              <w:jc w:val="center"/>
              <w:rPr>
                <w:rFonts w:hint="eastAsia" w:eastAsia="微软雅黑"/>
                <w:sz w:val="10"/>
                <w:szCs w:val="10"/>
                <w:lang w:val="en-US" w:eastAsia="zh-CN"/>
              </w:rPr>
            </w:pPr>
            <w:r>
              <w:rPr>
                <w:rFonts w:hint="eastAsia"/>
                <w:sz w:val="10"/>
                <w:szCs w:val="10"/>
                <w:lang w:val="en-US" w:eastAsia="zh-CN"/>
              </w:rPr>
              <w:t>5</w:t>
            </w:r>
          </w:p>
        </w:tc>
        <w:tc>
          <w:tcPr>
            <w:tcW w:w="1562" w:type="dxa"/>
            <w:tcBorders>
              <w:top w:val="single" w:color="auto" w:sz="4" w:space="0"/>
              <w:left w:val="single" w:color="auto" w:sz="4" w:space="0"/>
              <w:bottom w:val="single" w:color="auto" w:sz="4" w:space="0"/>
            </w:tcBorders>
            <w:shd w:val="clear" w:color="auto" w:fill="FFFFFF"/>
            <w:vAlign w:val="center"/>
          </w:tcPr>
          <w:p>
            <w:pPr>
              <w:widowControl w:val="0"/>
              <w:jc w:val="center"/>
              <w:rPr>
                <w:sz w:val="10"/>
                <w:szCs w:val="10"/>
              </w:rPr>
            </w:pPr>
          </w:p>
        </w:tc>
        <w:tc>
          <w:tcPr>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sz w:val="10"/>
                <w:szCs w:val="10"/>
              </w:rPr>
            </w:pPr>
          </w:p>
        </w:tc>
      </w:tr>
      <w:tr>
        <w:tblPrEx>
          <w:tblCellMar>
            <w:top w:w="0" w:type="dxa"/>
            <w:left w:w="10" w:type="dxa"/>
            <w:bottom w:w="0" w:type="dxa"/>
            <w:right w:w="10" w:type="dxa"/>
          </w:tblCellMar>
        </w:tblPrEx>
        <w:trPr>
          <w:trHeight w:val="738" w:hRule="atLeast"/>
          <w:jc w:val="center"/>
        </w:trPr>
        <w:tc>
          <w:tcPr>
            <w:vMerge w:val="continue"/>
            <w:tcBorders>
              <w:left w:val="single" w:color="auto" w:sz="4" w:space="0"/>
              <w:bottom w:val="single" w:color="auto" w:sz="4" w:space="0"/>
            </w:tcBorders>
            <w:shd w:val="clear" w:color="auto" w:fill="FFFFFF"/>
            <w:textDirection w:val="tbRlV"/>
            <w:vAlign w:val="center"/>
          </w:tcPr>
          <w:p>
            <w:pPr>
              <w:jc w:val="center"/>
              <w:rPr>
                <w:rFonts w:ascii="宋体" w:hAnsi="宋体" w:eastAsia="宋体" w:cs="宋体"/>
                <w:color w:val="000000"/>
                <w:spacing w:val="0"/>
                <w:w w:val="100"/>
                <w:position w:val="0"/>
                <w:sz w:val="16"/>
                <w:szCs w:val="16"/>
                <w:u w:val="none"/>
                <w:shd w:val="clear" w:color="auto" w:fill="auto"/>
                <w:lang w:val="zh-TW" w:eastAsia="zh-TW" w:bidi="zh-TW"/>
              </w:rPr>
            </w:pPr>
          </w:p>
        </w:tc>
        <w:tc>
          <w:tcPr>
            <w:vMerge w:val="continue"/>
            <w:tcBorders>
              <w:left w:val="single" w:color="auto" w:sz="4" w:space="0"/>
              <w:bottom w:val="single" w:color="auto" w:sz="4" w:space="0"/>
            </w:tcBorders>
            <w:shd w:val="clear" w:color="auto" w:fill="FFFFFF"/>
            <w:vAlign w:val="center"/>
          </w:tcPr>
          <w:p>
            <w:pPr>
              <w:jc w:val="center"/>
              <w:rPr>
                <w:rFonts w:ascii="宋体" w:hAnsi="宋体" w:eastAsia="宋体" w:cs="宋体"/>
                <w:color w:val="000000"/>
                <w:spacing w:val="0"/>
                <w:w w:val="100"/>
                <w:position w:val="0"/>
                <w:sz w:val="16"/>
                <w:szCs w:val="16"/>
                <w:u w:val="none"/>
                <w:shd w:val="clear" w:color="auto" w:fill="auto"/>
                <w:lang w:val="zh-TW" w:eastAsia="zh-TW" w:bidi="zh-TW"/>
              </w:rPr>
            </w:pPr>
          </w:p>
        </w:tc>
        <w:tc>
          <w:tcPr>
            <w:vMerge w:val="restart"/>
            <w:tcBorders>
              <w:top w:val="single" w:color="auto" w:sz="4" w:space="0"/>
              <w:left w:val="single" w:color="auto" w:sz="4" w:space="0"/>
            </w:tcBorders>
            <w:shd w:val="clear" w:color="auto" w:fill="FFFFFF"/>
            <w:vAlign w:val="center"/>
          </w:tcPr>
          <w:p>
            <w:pPr>
              <w:pStyle w:val="14"/>
              <w:keepNext w:val="0"/>
              <w:keepLines w:val="0"/>
              <w:widowControl w:val="0"/>
              <w:shd w:val="clear" w:color="auto" w:fill="auto"/>
              <w:bidi w:val="0"/>
              <w:spacing w:before="0" w:after="0" w:line="180" w:lineRule="exact"/>
              <w:ind w:left="0" w:right="0" w:firstLine="0"/>
              <w:jc w:val="center"/>
              <w:rPr>
                <w:rFonts w:ascii="宋体" w:hAnsi="宋体" w:eastAsia="宋体" w:cs="宋体"/>
                <w:color w:val="000000"/>
                <w:spacing w:val="0"/>
                <w:w w:val="100"/>
                <w:position w:val="0"/>
                <w:sz w:val="16"/>
                <w:szCs w:val="16"/>
                <w:u w:val="none"/>
                <w:shd w:val="clear" w:color="auto" w:fill="auto"/>
                <w:lang w:val="zh-TW" w:eastAsia="zh-TW" w:bidi="zh-TW"/>
              </w:rPr>
            </w:pPr>
            <w:r>
              <w:rPr>
                <w:rFonts w:ascii="宋体" w:hAnsi="宋体" w:eastAsia="宋体" w:cs="宋体"/>
                <w:color w:val="000000"/>
                <w:spacing w:val="0"/>
                <w:w w:val="100"/>
                <w:position w:val="0"/>
                <w:sz w:val="16"/>
                <w:szCs w:val="16"/>
                <w:u w:val="none"/>
                <w:shd w:val="clear" w:color="auto" w:fill="auto"/>
                <w:lang w:val="zh-TW" w:eastAsia="zh-TW" w:bidi="zh-TW"/>
              </w:rPr>
              <w:t>目益20&gt; 项效{分</w:t>
            </w:r>
          </w:p>
        </w:tc>
        <w:tc>
          <w:tcPr>
            <w:tcW w:w="331" w:type="dxa"/>
            <w:vMerge w:val="restart"/>
            <w:tcBorders>
              <w:top w:val="single" w:color="auto" w:sz="4" w:space="0"/>
              <w:left w:val="single" w:color="auto" w:sz="4" w:space="0"/>
            </w:tcBorders>
            <w:shd w:val="clear" w:color="auto" w:fill="FFFFFF"/>
            <w:vAlign w:val="center"/>
          </w:tcPr>
          <w:p>
            <w:pPr>
              <w:pStyle w:val="12"/>
              <w:keepNext w:val="0"/>
              <w:keepLines w:val="0"/>
              <w:widowControl w:val="0"/>
              <w:shd w:val="clear" w:color="auto" w:fill="auto"/>
              <w:bidi w:val="0"/>
              <w:spacing w:before="0" w:after="0" w:line="240" w:lineRule="auto"/>
              <w:ind w:left="0" w:right="0" w:firstLine="0"/>
              <w:jc w:val="center"/>
              <w:rPr>
                <w:rFonts w:ascii="宋体" w:hAnsi="宋体" w:eastAsia="宋体" w:cs="宋体"/>
                <w:color w:val="000000"/>
                <w:spacing w:val="0"/>
                <w:w w:val="100"/>
                <w:position w:val="0"/>
                <w:sz w:val="16"/>
                <w:szCs w:val="16"/>
                <w:u w:val="none"/>
                <w:shd w:val="clear" w:color="auto" w:fill="auto"/>
                <w:lang w:val="zh-TW" w:eastAsia="zh-TW" w:bidi="zh-TW"/>
              </w:rPr>
            </w:pPr>
            <w:r>
              <w:rPr>
                <w:rFonts w:ascii="宋体" w:hAnsi="宋体" w:eastAsia="宋体" w:cs="宋体"/>
                <w:color w:val="000000"/>
                <w:spacing w:val="0"/>
                <w:w w:val="100"/>
                <w:position w:val="0"/>
                <w:sz w:val="16"/>
                <w:szCs w:val="16"/>
                <w:u w:val="none"/>
                <w:shd w:val="clear" w:color="auto" w:fill="auto"/>
                <w:lang w:val="zh-TW" w:eastAsia="zh-TW" w:bidi="zh-TW"/>
              </w:rPr>
              <w:t>20</w:t>
            </w:r>
          </w:p>
        </w:tc>
        <w:tc>
          <w:tcPr>
            <w:tcW w:w="3312" w:type="dxa"/>
            <w:vMerge w:val="restart"/>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sz w:val="15"/>
                <w:szCs w:val="15"/>
                <w:lang w:eastAsia="zh-CN"/>
              </w:rPr>
              <w:t>质量指标（15分）</w:t>
            </w:r>
          </w:p>
        </w:tc>
        <w:tc>
          <w:tcPr>
            <w:vMerge w:val="continue"/>
            <w:tcBorders>
              <w:left w:val="single" w:color="auto" w:sz="4" w:space="0"/>
              <w:bottom w:val="single" w:color="auto" w:sz="4" w:space="0"/>
            </w:tcBorders>
            <w:shd w:val="clear" w:color="auto" w:fill="FFFFFF"/>
            <w:vAlign w:val="center"/>
          </w:tcPr>
          <w:p/>
        </w:tc>
        <w:tc>
          <w:tcPr>
            <w:tcW w:w="107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spacing w:line="180" w:lineRule="exact"/>
              <w:ind w:firstLine="0" w:firstLineChars="0"/>
              <w:jc w:val="both"/>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在职人员控制率；“三公、公用经费控制率；重点支出安排率；支出合规率；政府采购执行率；</w:t>
            </w:r>
          </w:p>
        </w:tc>
        <w:tc>
          <w:tcPr>
            <w:tcW w:w="71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spacing w:line="180" w:lineRule="exact"/>
              <w:ind w:firstLine="0" w:firstLineChars="0"/>
              <w:jc w:val="both"/>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≤100%；≤100%；≥80%；100%；100%</w:t>
            </w:r>
          </w:p>
        </w:tc>
        <w:tc>
          <w:tcPr>
            <w:tcW w:w="71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spacing w:line="180" w:lineRule="exact"/>
              <w:ind w:firstLine="0" w:firstLineChars="0"/>
              <w:jc w:val="both"/>
              <w:rPr>
                <w:rFonts w:hint="eastAsia" w:ascii="仿宋_GB2312" w:hAnsi="宋体" w:eastAsia="仿宋_GB2312" w:cs="宋体"/>
                <w:sz w:val="15"/>
                <w:szCs w:val="15"/>
                <w:u w:val="none"/>
                <w:shd w:val="clear" w:color="auto" w:fill="auto"/>
                <w:lang w:val="zh-TW" w:eastAsia="zh-TW" w:bidi="zh-TW"/>
              </w:rPr>
            </w:pPr>
            <w:r>
              <w:rPr>
                <w:rFonts w:hint="eastAsia" w:ascii="仿宋_GB2312" w:eastAsia="仿宋_GB2312"/>
                <w:sz w:val="15"/>
                <w:szCs w:val="15"/>
                <w:lang w:eastAsia="zh-CN"/>
              </w:rPr>
              <w:t>100；100%； 95%；100%；100%</w:t>
            </w:r>
          </w:p>
        </w:tc>
        <w:tc>
          <w:tcPr>
            <w:tcW w:w="583" w:type="dxa"/>
            <w:vMerge w:val="restart"/>
            <w:tcBorders>
              <w:top w:val="single" w:color="auto" w:sz="4" w:space="0"/>
              <w:left w:val="single" w:color="auto" w:sz="4" w:space="0"/>
              <w:right w:val="single" w:color="auto" w:sz="4" w:space="0"/>
            </w:tcBorders>
            <w:shd w:val="clear" w:color="auto" w:fill="FFFFFF"/>
            <w:vAlign w:val="center"/>
          </w:tcPr>
          <w:p>
            <w:pPr>
              <w:widowControl w:val="0"/>
              <w:jc w:val="center"/>
              <w:rPr>
                <w:rFonts w:hint="default" w:eastAsia="微软雅黑"/>
                <w:sz w:val="10"/>
                <w:szCs w:val="10"/>
                <w:lang w:val="en-US" w:eastAsia="zh-CN"/>
              </w:rPr>
            </w:pPr>
            <w:r>
              <w:rPr>
                <w:rFonts w:hint="eastAsia"/>
                <w:sz w:val="10"/>
                <w:szCs w:val="10"/>
                <w:lang w:val="en-US" w:eastAsia="zh-CN"/>
              </w:rPr>
              <w:t>15</w:t>
            </w:r>
          </w:p>
        </w:tc>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sz w:val="10"/>
                <w:szCs w:val="10"/>
              </w:rPr>
            </w:pP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sz w:val="10"/>
                <w:szCs w:val="10"/>
              </w:rPr>
            </w:pPr>
          </w:p>
        </w:tc>
      </w:tr>
      <w:tr>
        <w:tblPrEx>
          <w:tblCellMar>
            <w:top w:w="0" w:type="dxa"/>
            <w:left w:w="10" w:type="dxa"/>
            <w:bottom w:w="0" w:type="dxa"/>
            <w:right w:w="10" w:type="dxa"/>
          </w:tblCellMar>
        </w:tblPrEx>
        <w:trPr>
          <w:trHeight w:val="738" w:hRule="atLeast"/>
          <w:jc w:val="center"/>
        </w:trPr>
        <w:tc>
          <w:tcPr>
            <w:vMerge w:val="continue"/>
            <w:tcBorders>
              <w:left w:val="single" w:color="auto" w:sz="4" w:space="0"/>
              <w:bottom w:val="single" w:color="auto" w:sz="4" w:space="0"/>
            </w:tcBorders>
            <w:shd w:val="clear" w:color="auto" w:fill="FFFFFF"/>
            <w:textDirection w:val="tbRlV"/>
            <w:vAlign w:val="center"/>
          </w:tcPr>
          <w:p>
            <w:pPr>
              <w:widowControl w:val="0"/>
              <w:jc w:val="center"/>
            </w:pPr>
          </w:p>
        </w:tc>
        <w:tc>
          <w:tcPr>
            <w:vMerge w:val="continue"/>
            <w:tcBorders>
              <w:left w:val="single" w:color="auto" w:sz="4" w:space="0"/>
              <w:bottom w:val="single" w:color="auto" w:sz="4" w:space="0"/>
            </w:tcBorders>
            <w:shd w:val="clear" w:color="auto" w:fill="FFFFFF"/>
            <w:vAlign w:val="center"/>
          </w:tcPr>
          <w:p>
            <w:pPr>
              <w:widowControl w:val="0"/>
              <w:jc w:val="center"/>
            </w:pPr>
          </w:p>
        </w:tc>
        <w:tc>
          <w:tcPr>
            <w:vMerge w:val="continue"/>
            <w:tcBorders>
              <w:left w:val="single" w:color="auto" w:sz="4" w:space="0"/>
              <w:bottom w:val="single" w:color="auto" w:sz="4" w:space="0"/>
            </w:tcBorders>
            <w:shd w:val="clear" w:color="auto" w:fill="FFFFFF"/>
            <w:vAlign w:val="center"/>
          </w:tcPr>
          <w:p>
            <w:pPr>
              <w:widowControl w:val="0"/>
              <w:jc w:val="center"/>
            </w:pPr>
          </w:p>
        </w:tc>
        <w:tc>
          <w:tcPr>
            <w:tcW w:w="331" w:type="dxa"/>
            <w:vMerge w:val="continue"/>
            <w:tcBorders>
              <w:left w:val="single" w:color="auto" w:sz="4" w:space="0"/>
              <w:bottom w:val="single" w:color="auto" w:sz="4" w:space="0"/>
            </w:tcBorders>
            <w:shd w:val="clear" w:color="auto" w:fill="FFFFFF"/>
            <w:vAlign w:val="center"/>
          </w:tcPr>
          <w:p>
            <w:pPr>
              <w:widowControl w:val="0"/>
              <w:jc w:val="center"/>
            </w:pPr>
          </w:p>
        </w:tc>
        <w:tc>
          <w:tcPr>
            <w:tcW w:w="3312" w:type="dxa"/>
            <w:vMerge w:val="continue"/>
            <w:tcBorders>
              <w:left w:val="single" w:color="auto" w:sz="4" w:space="0"/>
              <w:bottom w:val="single" w:color="auto" w:sz="4" w:space="0"/>
            </w:tcBorders>
            <w:shd w:val="clear" w:color="auto" w:fill="FFFFFF"/>
            <w:vAlign w:val="center"/>
          </w:tcPr>
          <w:p>
            <w:pPr>
              <w:widowControl w:val="0"/>
              <w:jc w:val="center"/>
            </w:pPr>
          </w:p>
        </w:tc>
        <w:tc>
          <w:tcPr>
            <w:vMerge w:val="continue"/>
            <w:tcBorders>
              <w:left w:val="single" w:color="auto" w:sz="4" w:space="0"/>
              <w:bottom w:val="single" w:color="auto" w:sz="4" w:space="0"/>
            </w:tcBorders>
            <w:shd w:val="clear" w:color="auto" w:fill="FFFFFF"/>
            <w:vAlign w:val="center"/>
          </w:tcPr>
          <w:p>
            <w:pPr>
              <w:widowControl w:val="0"/>
              <w:jc w:val="center"/>
            </w:pP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2"/>
              <w:spacing w:line="180" w:lineRule="exact"/>
              <w:ind w:firstLine="0" w:firstLineChars="0"/>
              <w:jc w:val="both"/>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出勤率；验收合格率；档案整理完成率；合同执行率；政府采购率</w:t>
            </w:r>
          </w:p>
        </w:tc>
        <w:tc>
          <w:tcPr>
            <w:tcW w:w="71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spacing w:line="180" w:lineRule="exact"/>
              <w:ind w:firstLine="0" w:firstLineChars="0"/>
              <w:jc w:val="both"/>
              <w:rPr>
                <w:rFonts w:hint="eastAsia" w:ascii="仿宋_GB2312" w:hAnsi="宋体" w:eastAsia="仿宋_GB2312" w:cs="宋体"/>
                <w:sz w:val="15"/>
                <w:szCs w:val="15"/>
                <w:u w:val="none"/>
                <w:shd w:val="clear" w:color="auto" w:fill="auto"/>
                <w:lang w:val="zh-TW" w:eastAsia="zh-TW" w:bidi="zh-TW"/>
              </w:rPr>
            </w:pPr>
            <w:r>
              <w:rPr>
                <w:rFonts w:hint="eastAsia" w:ascii="仿宋_GB2312" w:eastAsia="仿宋_GB2312"/>
                <w:sz w:val="15"/>
                <w:szCs w:val="15"/>
              </w:rPr>
              <w:t>100%；100%；100%；100%；100%</w:t>
            </w:r>
          </w:p>
        </w:tc>
        <w:tc>
          <w:tcPr>
            <w:tcW w:w="71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spacing w:line="180" w:lineRule="exact"/>
              <w:ind w:firstLine="0" w:firstLineChars="0"/>
              <w:jc w:val="both"/>
              <w:rPr>
                <w:rFonts w:hint="eastAsia" w:ascii="仿宋_GB2312" w:hAnsi="宋体" w:eastAsia="仿宋_GB2312" w:cs="宋体"/>
                <w:sz w:val="15"/>
                <w:szCs w:val="15"/>
                <w:u w:val="none"/>
                <w:shd w:val="clear" w:color="auto" w:fill="auto"/>
                <w:lang w:val="zh-TW" w:eastAsia="zh-TW" w:bidi="zh-TW"/>
              </w:rPr>
            </w:pPr>
            <w:r>
              <w:rPr>
                <w:rFonts w:hint="eastAsia" w:ascii="仿宋_GB2312" w:eastAsia="仿宋_GB2312"/>
                <w:sz w:val="15"/>
                <w:szCs w:val="15"/>
              </w:rPr>
              <w:t>100</w:t>
            </w:r>
            <w:r>
              <w:rPr>
                <w:rFonts w:hint="eastAsia" w:ascii="仿宋_GB2312" w:eastAsia="仿宋_GB2312"/>
                <w:sz w:val="15"/>
                <w:szCs w:val="15"/>
                <w:lang w:eastAsia="zh-CN"/>
              </w:rPr>
              <w:t>%；</w:t>
            </w:r>
            <w:r>
              <w:rPr>
                <w:rFonts w:hint="eastAsia" w:ascii="仿宋_GB2312" w:eastAsia="仿宋_GB2312"/>
                <w:sz w:val="15"/>
                <w:szCs w:val="15"/>
              </w:rPr>
              <w:t>100%；100%；100%；100%</w:t>
            </w:r>
          </w:p>
        </w:tc>
        <w:tc>
          <w:tcPr>
            <w:tcW w:w="583" w:type="dxa"/>
            <w:vMerge w:val="continue"/>
            <w:tcBorders>
              <w:left w:val="single" w:color="auto" w:sz="4" w:space="0"/>
              <w:bottom w:val="single" w:color="auto" w:sz="4" w:space="0"/>
              <w:right w:val="single" w:color="auto" w:sz="4" w:space="0"/>
            </w:tcBorders>
            <w:shd w:val="clear" w:color="auto" w:fill="FFFFFF"/>
            <w:vAlign w:val="center"/>
          </w:tcPr>
          <w:p>
            <w:pPr>
              <w:widowControl w:val="0"/>
              <w:jc w:val="center"/>
              <w:rPr>
                <w:sz w:val="10"/>
                <w:szCs w:val="10"/>
              </w:rPr>
            </w:pPr>
          </w:p>
        </w:tc>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sz w:val="10"/>
                <w:szCs w:val="10"/>
              </w:rPr>
            </w:pP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sz w:val="10"/>
                <w:szCs w:val="10"/>
              </w:rPr>
            </w:pPr>
          </w:p>
        </w:tc>
      </w:tr>
    </w:tbl>
    <w:p>
      <w:pPr>
        <w:widowControl w:val="0"/>
        <w:spacing w:after="139" w:line="1" w:lineRule="exact"/>
      </w:pPr>
    </w:p>
    <w:p>
      <w:pPr>
        <w:pStyle w:val="15"/>
        <w:keepNext w:val="0"/>
        <w:keepLines w:val="0"/>
        <w:widowControl w:val="0"/>
        <w:shd w:val="clear" w:color="auto" w:fill="auto"/>
        <w:bidi w:val="0"/>
        <w:spacing w:before="0" w:after="0"/>
        <w:ind w:left="0" w:right="0" w:firstLine="0"/>
        <w:jc w:val="left"/>
      </w:pPr>
      <w:r>
        <w:rPr>
          <w:color w:val="000000"/>
          <w:spacing w:val="0"/>
          <w:w w:val="100"/>
          <w:position w:val="0"/>
        </w:rPr>
        <w:t>备注：</w:t>
      </w:r>
    </w:p>
    <w:p>
      <w:pPr>
        <w:pStyle w:val="15"/>
        <w:keepNext w:val="0"/>
        <w:keepLines w:val="0"/>
        <w:widowControl w:val="0"/>
        <w:shd w:val="clear" w:color="auto" w:fill="auto"/>
        <w:bidi w:val="0"/>
        <w:spacing w:before="0" w:after="0"/>
        <w:ind w:left="0" w:right="0" w:firstLine="0"/>
        <w:jc w:val="left"/>
      </w:pPr>
      <w:r>
        <w:rPr>
          <w:b/>
          <w:bCs/>
          <w:color w:val="000000"/>
          <w:spacing w:val="0"/>
          <w:w w:val="100"/>
          <w:position w:val="0"/>
          <w:sz w:val="18"/>
          <w:szCs w:val="18"/>
          <w:lang w:val="en-US" w:eastAsia="en-US" w:bidi="en-US"/>
        </w:rPr>
        <w:t xml:space="preserve">1. </w:t>
      </w:r>
      <w:r>
        <w:rPr>
          <w:color w:val="000000"/>
          <w:spacing w:val="0"/>
          <w:w w:val="100"/>
          <w:position w:val="0"/>
        </w:rPr>
        <w:t>“須目产出”和</w:t>
      </w:r>
      <w:r>
        <w:rPr>
          <w:color w:val="000000"/>
          <w:spacing w:val="0"/>
          <w:w w:val="100"/>
          <w:position w:val="0"/>
          <w:lang w:val="zh-CN" w:eastAsia="zh-CN" w:bidi="zh-CN"/>
        </w:rPr>
        <w:t>“项目</w:t>
      </w:r>
      <w:r>
        <w:rPr>
          <w:color w:val="000000"/>
          <w:spacing w:val="0"/>
          <w:w w:val="100"/>
          <w:position w:val="0"/>
        </w:rPr>
        <w:t>效果”直接细化成部门年初绩效目标中的指标，并根据重要程度赋权。</w:t>
      </w:r>
    </w:p>
    <w:p>
      <w:pPr>
        <w:pStyle w:val="15"/>
        <w:keepNext w:val="0"/>
        <w:keepLines w:val="0"/>
        <w:widowControl w:val="0"/>
        <w:shd w:val="clear" w:color="auto" w:fill="auto"/>
        <w:bidi w:val="0"/>
        <w:spacing w:before="0" w:after="80"/>
        <w:ind w:left="0" w:right="0" w:firstLine="0"/>
        <w:jc w:val="left"/>
        <w:rPr>
          <w:rFonts w:hint="eastAsia" w:eastAsia="宋体"/>
          <w:lang w:eastAsia="zh-CN"/>
        </w:rPr>
        <w:sectPr>
          <w:footnotePr>
            <w:numFmt w:val="decimal"/>
          </w:footnotePr>
          <w:pgSz w:w="16840" w:h="11900" w:orient="landscape"/>
          <w:pgMar w:top="2112" w:right="1414" w:bottom="2056" w:left="1436" w:header="1684" w:footer="1628" w:gutter="0"/>
          <w:cols w:space="720" w:num="1"/>
          <w:rtlGutter w:val="0"/>
          <w:docGrid w:linePitch="360" w:charSpace="0"/>
        </w:sectPr>
      </w:pPr>
      <w:r>
        <w:rPr>
          <w:b/>
          <w:bCs/>
          <w:color w:val="000000"/>
          <w:spacing w:val="0"/>
          <w:w w:val="100"/>
          <w:position w:val="0"/>
          <w:sz w:val="18"/>
          <w:szCs w:val="18"/>
          <w:lang w:val="en-US" w:eastAsia="en-US" w:bidi="en-US"/>
        </w:rPr>
        <w:t xml:space="preserve">2- </w:t>
      </w:r>
      <w:r>
        <w:rPr>
          <w:color w:val="000000"/>
          <w:spacing w:val="0"/>
          <w:w w:val="100"/>
          <w:position w:val="0"/>
          <w:lang w:val="zh-CN" w:eastAsia="zh-CN" w:bidi="zh-CN"/>
        </w:rPr>
        <w:t>“绩</w:t>
      </w:r>
      <w:r>
        <w:rPr>
          <w:color w:val="000000"/>
          <w:spacing w:val="0"/>
          <w:w w:val="100"/>
          <w:position w:val="0"/>
        </w:rPr>
        <w:t>效指标分析"是指参考历史数据、行业标准及绩效目标实际完成情况等相关资料，从“是否与项目密切相关，指标值是否可获取，指标值设置是否合理</w:t>
      </w:r>
      <w:r>
        <w:rPr>
          <w:color w:val="000000"/>
          <w:spacing w:val="0"/>
          <w:w w:val="100"/>
          <w:position w:val="0"/>
          <w:lang w:val="zh-CN" w:eastAsia="zh-CN" w:bidi="zh-CN"/>
        </w:rPr>
        <w:t>”等</w:t>
      </w:r>
      <w:r>
        <w:rPr>
          <w:color w:val="000000"/>
          <w:spacing w:val="0"/>
          <w:w w:val="100"/>
          <w:position w:val="0"/>
        </w:rPr>
        <w:t>角度，从产出和效果类 指标中找出需要改进的指标，并逐项提出次年的编制意</w:t>
      </w:r>
      <w:r>
        <w:rPr>
          <w:rFonts w:hint="eastAsia"/>
          <w:color w:val="000000"/>
          <w:spacing w:val="0"/>
          <w:w w:val="100"/>
          <w:position w:val="0"/>
          <w:lang w:eastAsia="zh-CN"/>
        </w:rPr>
        <w:t>见</w:t>
      </w:r>
    </w:p>
    <w:p>
      <w:pPr>
        <w:pStyle w:val="8"/>
        <w:spacing w:line="560" w:lineRule="exact"/>
        <w:rPr>
          <w:rFonts w:hint="eastAsia" w:ascii="黑体" w:eastAsia="黑体" w:cs="仿宋_GB2312"/>
          <w:bCs/>
          <w:color w:val="000000"/>
          <w:sz w:val="32"/>
          <w:szCs w:val="32"/>
        </w:rPr>
      </w:pPr>
    </w:p>
    <w:p>
      <w:pPr>
        <w:pStyle w:val="8"/>
        <w:spacing w:line="560" w:lineRule="exact"/>
        <w:ind w:firstLine="640" w:firstLineChars="200"/>
        <w:rPr>
          <w:rFonts w:ascii="黑体" w:eastAsia="黑体" w:cs="仿宋_GB2312"/>
          <w:bCs/>
          <w:color w:val="000000"/>
          <w:sz w:val="32"/>
          <w:szCs w:val="32"/>
        </w:rPr>
      </w:pPr>
      <w:r>
        <w:rPr>
          <w:rFonts w:hint="eastAsia" w:ascii="黑体" w:eastAsia="黑体" w:cs="仿宋_GB2312"/>
          <w:bCs/>
          <w:color w:val="000000"/>
          <w:sz w:val="32"/>
          <w:szCs w:val="32"/>
        </w:rPr>
        <w:t>十一、其他重要事项的情况说明</w:t>
      </w:r>
    </w:p>
    <w:p>
      <w:pPr>
        <w:pStyle w:val="8"/>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 xml:space="preserve">（一）机关运行经费支出情况说明。 </w:t>
      </w:r>
    </w:p>
    <w:p>
      <w:pPr>
        <w:pStyle w:val="8"/>
        <w:spacing w:line="560" w:lineRule="exact"/>
        <w:ind w:firstLine="640" w:firstLineChars="200"/>
        <w:rPr>
          <w:rFonts w:ascii="仿宋_GB2312" w:eastAsia="仿宋_GB2312"/>
          <w:sz w:val="32"/>
          <w:szCs w:val="32"/>
        </w:rPr>
      </w:pPr>
      <w:r>
        <w:rPr>
          <w:rFonts w:hint="eastAsia" w:ascii="仿宋_GB2312" w:eastAsia="仿宋_GB2312"/>
          <w:sz w:val="32"/>
          <w:szCs w:val="32"/>
        </w:rPr>
        <w:t>2019年度本部门机关运行经费支出121.27万元，用于维持机关日常运转所必需的公用支出。支出决算为121.27万元</w:t>
      </w:r>
      <w:r>
        <w:rPr>
          <w:rFonts w:hint="eastAsia" w:ascii="仿宋_GB2312" w:eastAsia="仿宋_GB2312"/>
          <w:sz w:val="32"/>
          <w:szCs w:val="32"/>
          <w:lang w:eastAsia="zh-CN"/>
        </w:rPr>
        <w:t>，支出预算数</w:t>
      </w:r>
      <w:r>
        <w:rPr>
          <w:rFonts w:hint="eastAsia" w:ascii="仿宋_GB2312" w:eastAsia="仿宋_GB2312"/>
          <w:sz w:val="32"/>
          <w:szCs w:val="32"/>
          <w:lang w:val="en-US" w:eastAsia="zh-CN"/>
        </w:rPr>
        <w:t>16.52万元，</w:t>
      </w:r>
      <w:r>
        <w:rPr>
          <w:rFonts w:hint="eastAsia" w:ascii="仿宋_GB2312" w:eastAsia="仿宋_GB2312"/>
          <w:sz w:val="32"/>
          <w:szCs w:val="32"/>
        </w:rPr>
        <w:t>完成预算的</w:t>
      </w:r>
      <w:r>
        <w:rPr>
          <w:rFonts w:hint="eastAsia" w:ascii="仿宋_GB2312" w:eastAsia="仿宋_GB2312"/>
          <w:sz w:val="32"/>
          <w:szCs w:val="32"/>
          <w:lang w:val="en-US" w:eastAsia="zh-CN"/>
        </w:rPr>
        <w:t>100</w:t>
      </w:r>
      <w:r>
        <w:rPr>
          <w:rFonts w:hint="eastAsia" w:ascii="仿宋_GB2312" w:eastAsia="仿宋_GB2312"/>
          <w:sz w:val="32"/>
          <w:szCs w:val="32"/>
        </w:rPr>
        <w:t>%</w:t>
      </w:r>
      <w:r>
        <w:rPr>
          <w:rFonts w:hint="eastAsia" w:ascii="仿宋_GB2312" w:eastAsia="仿宋_GB2312"/>
          <w:sz w:val="32"/>
          <w:szCs w:val="32"/>
          <w:lang w:eastAsia="zh-CN"/>
        </w:rPr>
        <w:t>，</w:t>
      </w:r>
      <w:r>
        <w:rPr>
          <w:rFonts w:hint="eastAsia" w:ascii="仿宋_GB2312" w:eastAsia="仿宋_GB2312"/>
          <w:sz w:val="32"/>
          <w:szCs w:val="32"/>
        </w:rPr>
        <w:t>决算数较预算数增加104.75万元，主要原因是机构改革人员变动。</w:t>
      </w:r>
    </w:p>
    <w:p>
      <w:pPr>
        <w:pStyle w:val="8"/>
        <w:spacing w:line="560" w:lineRule="exact"/>
        <w:ind w:firstLine="640" w:firstLineChars="200"/>
        <w:rPr>
          <w:rFonts w:ascii="仿宋_GB2312" w:eastAsia="仿宋_GB2312"/>
          <w:sz w:val="32"/>
          <w:szCs w:val="32"/>
        </w:rPr>
      </w:pPr>
      <w:r>
        <w:rPr>
          <w:rFonts w:hint="eastAsia" w:ascii="仿宋_GB2312" w:eastAsia="仿宋_GB2312"/>
          <w:sz w:val="32"/>
          <w:szCs w:val="32"/>
        </w:rPr>
        <w:t>2019年度机关运行经费支出较上年增加107.56万元，主要原因是机构改革人员变动。</w:t>
      </w:r>
    </w:p>
    <w:p>
      <w:pPr>
        <w:pStyle w:val="8"/>
        <w:numPr>
          <w:ilvl w:val="0"/>
          <w:numId w:val="6"/>
        </w:numPr>
        <w:spacing w:line="560" w:lineRule="exact"/>
        <w:ind w:firstLine="643" w:firstLineChars="200"/>
        <w:rPr>
          <w:rFonts w:hint="eastAsia" w:ascii="仿宋_GB2312" w:eastAsia="仿宋_GB2312"/>
          <w:b/>
          <w:bCs/>
          <w:sz w:val="32"/>
          <w:szCs w:val="32"/>
        </w:rPr>
      </w:pPr>
      <w:r>
        <w:rPr>
          <w:rFonts w:hint="eastAsia" w:ascii="仿宋_GB2312" w:eastAsia="仿宋_GB2312"/>
          <w:b/>
          <w:bCs/>
          <w:sz w:val="32"/>
          <w:szCs w:val="32"/>
        </w:rPr>
        <w:t>政府采购支出情况说明。</w:t>
      </w:r>
    </w:p>
    <w:p>
      <w:pPr>
        <w:adjustRightInd/>
        <w:snapToGrid/>
        <w:spacing w:after="0" w:line="560" w:lineRule="exact"/>
        <w:ind w:firstLine="645"/>
      </w:pPr>
      <w:r>
        <w:rPr>
          <w:rFonts w:hint="eastAsia" w:ascii="仿宋_GB2312" w:eastAsia="仿宋_GB2312" w:cs="宋体"/>
          <w:sz w:val="32"/>
          <w:szCs w:val="32"/>
        </w:rPr>
        <w:t>2019年度本部门政府采购支出总额</w:t>
      </w:r>
      <w:r>
        <w:rPr>
          <w:rFonts w:hint="eastAsia" w:ascii="仿宋_GB2312" w:eastAsia="仿宋_GB2312" w:cs="宋体"/>
          <w:sz w:val="32"/>
          <w:szCs w:val="32"/>
          <w:lang w:val="en-US" w:eastAsia="zh-CN"/>
        </w:rPr>
        <w:t>226</w:t>
      </w:r>
      <w:r>
        <w:rPr>
          <w:rFonts w:hint="eastAsia" w:ascii="仿宋_GB2312" w:eastAsia="仿宋_GB2312" w:cs="宋体"/>
          <w:sz w:val="32"/>
          <w:szCs w:val="32"/>
        </w:rPr>
        <w:t>万元，其中：政府采购货物类支出</w:t>
      </w:r>
      <w:r>
        <w:rPr>
          <w:rFonts w:hint="eastAsia" w:ascii="仿宋_GB2312" w:eastAsia="仿宋_GB2312" w:cs="宋体"/>
          <w:sz w:val="32"/>
          <w:szCs w:val="32"/>
          <w:lang w:val="en-US" w:eastAsia="zh-CN"/>
        </w:rPr>
        <w:t>0</w:t>
      </w:r>
      <w:r>
        <w:rPr>
          <w:rFonts w:hint="eastAsia" w:ascii="仿宋_GB2312" w:eastAsia="仿宋_GB2312" w:cs="宋体"/>
          <w:sz w:val="32"/>
          <w:szCs w:val="32"/>
        </w:rPr>
        <w:t>万元、政府采购服务类支出</w:t>
      </w:r>
      <w:r>
        <w:rPr>
          <w:rFonts w:hint="eastAsia" w:ascii="仿宋_GB2312" w:eastAsia="仿宋_GB2312" w:cs="宋体"/>
          <w:sz w:val="32"/>
          <w:szCs w:val="32"/>
          <w:lang w:val="en-US" w:eastAsia="zh-CN"/>
        </w:rPr>
        <w:t>28</w:t>
      </w:r>
      <w:r>
        <w:rPr>
          <w:rFonts w:hint="eastAsia" w:ascii="仿宋_GB2312" w:eastAsia="仿宋_GB2312" w:cs="宋体"/>
          <w:sz w:val="32"/>
          <w:szCs w:val="32"/>
        </w:rPr>
        <w:t>万元、政府采购工程类支出</w:t>
      </w:r>
      <w:r>
        <w:rPr>
          <w:rFonts w:hint="eastAsia" w:ascii="仿宋_GB2312" w:eastAsia="仿宋_GB2312" w:cs="宋体"/>
          <w:sz w:val="32"/>
          <w:szCs w:val="32"/>
          <w:lang w:val="en-US" w:eastAsia="zh-CN"/>
        </w:rPr>
        <w:t>198</w:t>
      </w:r>
      <w:r>
        <w:rPr>
          <w:rFonts w:hint="eastAsia" w:ascii="仿宋_GB2312" w:eastAsia="仿宋_GB2312" w:cs="宋体"/>
          <w:sz w:val="32"/>
          <w:szCs w:val="32"/>
        </w:rPr>
        <w:t>万元；授予中小企业合同金额</w:t>
      </w:r>
      <w:r>
        <w:rPr>
          <w:rFonts w:hint="eastAsia" w:ascii="仿宋_GB2312" w:eastAsia="仿宋_GB2312" w:cs="宋体"/>
          <w:sz w:val="32"/>
          <w:szCs w:val="32"/>
          <w:lang w:val="en-US" w:eastAsia="zh-CN"/>
        </w:rPr>
        <w:t>0</w:t>
      </w:r>
      <w:r>
        <w:rPr>
          <w:rFonts w:hint="eastAsia" w:ascii="仿宋_GB2312" w:eastAsia="仿宋_GB2312" w:cs="宋体"/>
          <w:sz w:val="32"/>
          <w:szCs w:val="32"/>
        </w:rPr>
        <w:t>万元，占政府采购支出总额的</w:t>
      </w:r>
      <w:r>
        <w:rPr>
          <w:rFonts w:hint="eastAsia" w:ascii="仿宋_GB2312" w:eastAsia="仿宋_GB2312" w:cs="宋体"/>
          <w:sz w:val="32"/>
          <w:szCs w:val="32"/>
          <w:lang w:val="en-US" w:eastAsia="zh-CN"/>
        </w:rPr>
        <w:t>0</w:t>
      </w:r>
      <w:r>
        <w:rPr>
          <w:rFonts w:hint="eastAsia" w:ascii="仿宋_GB2312" w:eastAsia="仿宋_GB2312" w:cs="宋体"/>
          <w:sz w:val="32"/>
          <w:szCs w:val="32"/>
        </w:rPr>
        <w:t>%，其中：授予小微企业合同金额</w:t>
      </w:r>
      <w:r>
        <w:rPr>
          <w:rFonts w:hint="eastAsia" w:ascii="仿宋_GB2312" w:eastAsia="仿宋_GB2312" w:cs="宋体"/>
          <w:sz w:val="32"/>
          <w:szCs w:val="32"/>
          <w:lang w:val="en-US" w:eastAsia="zh-CN"/>
        </w:rPr>
        <w:t>0</w:t>
      </w:r>
      <w:r>
        <w:rPr>
          <w:rFonts w:hint="eastAsia" w:ascii="仿宋_GB2312" w:eastAsia="仿宋_GB2312" w:cs="宋体"/>
          <w:sz w:val="32"/>
          <w:szCs w:val="32"/>
        </w:rPr>
        <w:t>万元，占政府采购支出总额的</w:t>
      </w:r>
      <w:r>
        <w:rPr>
          <w:rFonts w:hint="eastAsia" w:ascii="仿宋_GB2312" w:eastAsia="仿宋_GB2312" w:cs="宋体"/>
          <w:sz w:val="32"/>
          <w:szCs w:val="32"/>
          <w:lang w:val="en-US" w:eastAsia="zh-CN"/>
        </w:rPr>
        <w:t>0</w:t>
      </w:r>
      <w:r>
        <w:rPr>
          <w:rFonts w:hint="eastAsia" w:ascii="仿宋_GB2312" w:eastAsia="仿宋_GB2312" w:cs="宋体"/>
          <w:sz w:val="32"/>
          <w:szCs w:val="32"/>
        </w:rPr>
        <w:t>%。</w:t>
      </w:r>
    </w:p>
    <w:p>
      <w:pPr>
        <w:pStyle w:val="8"/>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（三）国有资产占用及购置情况说明。</w:t>
      </w:r>
    </w:p>
    <w:p>
      <w:pPr>
        <w:adjustRightInd/>
        <w:snapToGrid/>
        <w:spacing w:after="0" w:line="560" w:lineRule="exact"/>
        <w:ind w:firstLine="645"/>
        <w:rPr>
          <w:rFonts w:ascii="仿宋_GB2312" w:eastAsia="仿宋_GB2312" w:cs="宋体"/>
          <w:sz w:val="32"/>
          <w:szCs w:val="32"/>
        </w:rPr>
      </w:pPr>
      <w:r>
        <w:rPr>
          <w:rFonts w:hint="eastAsia" w:ascii="仿宋_GB2312" w:eastAsia="仿宋_GB2312" w:cs="宋体"/>
          <w:sz w:val="32"/>
          <w:szCs w:val="32"/>
        </w:rPr>
        <w:t>截至2019年末，本部门机关及所属单位共有车辆1辆；单价50万元以上的通用设备0台（套）；单价100万元以上的专用设备0台（套）。2019年当年购置车辆0辆；购置单价50万元以上的通用设备0台（套）；购置单价100万元以上的专用设备0台（套）。</w:t>
      </w:r>
    </w:p>
    <w:p>
      <w:pPr>
        <w:ind w:right="880" w:firstLine="640" w:firstLineChars="200"/>
        <w:textAlignment w:val="center"/>
        <w:rPr>
          <w:rFonts w:ascii="黑体" w:eastAsia="黑体" w:cs="仿宋_GB2312"/>
          <w:bCs/>
          <w:color w:val="000000"/>
          <w:sz w:val="32"/>
          <w:szCs w:val="32"/>
        </w:rPr>
      </w:pPr>
      <w:r>
        <w:rPr>
          <w:rFonts w:hint="eastAsia" w:ascii="黑体" w:eastAsia="黑体" w:cs="仿宋_GB2312"/>
          <w:bCs/>
          <w:color w:val="000000"/>
          <w:sz w:val="32"/>
          <w:szCs w:val="32"/>
        </w:rPr>
        <w:t>第三部分 专业名词解释</w:t>
      </w:r>
    </w:p>
    <w:p>
      <w:pPr>
        <w:spacing w:line="560" w:lineRule="exact"/>
        <w:ind w:firstLine="640" w:firstLineChars="200"/>
        <w:rPr>
          <w:rFonts w:ascii="仿宋_GB2312" w:eastAsia="仿宋_GB2312" w:cs="宋体"/>
          <w:b/>
          <w:bCs/>
          <w:sz w:val="32"/>
          <w:szCs w:val="32"/>
        </w:rPr>
      </w:pPr>
      <w:r>
        <w:rPr>
          <w:rFonts w:hint="eastAsia" w:ascii="仿宋_GB2312" w:eastAsia="仿宋_GB2312"/>
          <w:sz w:val="32"/>
          <w:szCs w:val="32"/>
        </w:rPr>
        <w:t>1.基本支出：</w:t>
      </w:r>
      <w:r>
        <w:rPr>
          <w:rFonts w:hint="eastAsia" w:ascii="仿宋_GB2312" w:eastAsia="仿宋_GB2312" w:cs="宋体"/>
          <w:sz w:val="32"/>
          <w:szCs w:val="32"/>
        </w:rPr>
        <w:t>是指行政事业单位为保证其机构正常运转、完成日常工作任务发生的支出，分为人员经费和日常公用经费。包括工资福利支出、商品和服务支出、对个人和家庭的补助，其中工资福利支出包含在职人员的工资和各项补贴、津贴；商品和服务支出包括日常办公经费支出，如办公费、水电费、交通费、差旅费、会议费、培训费、劳务费、维修（护）费等；对个人和家庭的补助，包含医疗费等。</w:t>
      </w:r>
    </w:p>
    <w:p>
      <w:pPr>
        <w:spacing w:line="560" w:lineRule="exact"/>
        <w:rPr>
          <w:rFonts w:ascii="仿宋_GB2312" w:eastAsia="仿宋_GB2312" w:cs="宋体"/>
          <w:b/>
          <w:bCs/>
          <w:sz w:val="32"/>
          <w:szCs w:val="32"/>
        </w:rPr>
      </w:pPr>
      <w:r>
        <w:rPr>
          <w:rFonts w:hint="eastAsia" w:ascii="仿宋_GB2312" w:eastAsia="仿宋_GB2312" w:cs="宋体"/>
          <w:b/>
          <w:bCs/>
          <w:sz w:val="32"/>
          <w:szCs w:val="32"/>
        </w:rPr>
        <w:t>　　</w:t>
      </w:r>
      <w:r>
        <w:rPr>
          <w:rFonts w:hint="eastAsia" w:ascii="仿宋_GB2312" w:eastAsia="仿宋_GB2312" w:cs="宋体"/>
          <w:color w:val="000000"/>
          <w:sz w:val="32"/>
          <w:szCs w:val="32"/>
        </w:rPr>
        <w:t>2.项目支出：</w:t>
      </w:r>
      <w:r>
        <w:rPr>
          <w:rFonts w:hint="eastAsia" w:ascii="仿宋_GB2312" w:eastAsia="仿宋_GB2312" w:cs="宋体"/>
          <w:sz w:val="32"/>
          <w:szCs w:val="32"/>
        </w:rPr>
        <w:t xml:space="preserve"> 是指行政事业单位为完成特定的工作任务或事业发展目标，由财政预算专款安排的支出包括基本建设专项业务费，大型购置、大型修缮、大型会议。包括文化体育活动经费，其中有场地费、劳务费、服装费、广告宣传费等；购买健身器材</w:t>
      </w:r>
    </w:p>
    <w:p>
      <w:pPr>
        <w:spacing w:line="560" w:lineRule="exact"/>
        <w:ind w:firstLine="640" w:firstLineChars="200"/>
        <w:rPr>
          <w:rFonts w:ascii="仿宋_GB2312" w:eastAsia="仿宋_GB2312" w:cs="宋体"/>
          <w:sz w:val="32"/>
          <w:szCs w:val="32"/>
        </w:rPr>
      </w:pPr>
      <w:r>
        <w:rPr>
          <w:rFonts w:hint="eastAsia" w:ascii="仿宋_GB2312" w:eastAsia="仿宋_GB2312"/>
          <w:sz w:val="32"/>
          <w:szCs w:val="32"/>
        </w:rPr>
        <w:t>3.</w:t>
      </w:r>
      <w:r>
        <w:rPr>
          <w:rFonts w:hint="eastAsia" w:ascii="仿宋_GB2312" w:eastAsia="仿宋_GB2312" w:cs="宋体"/>
          <w:sz w:val="32"/>
          <w:szCs w:val="32"/>
        </w:rPr>
        <w:t>机关运行经费： 是指一般公共预算财政拨款安排的基本支出中日常公用经费支出部分，不含人员经费。包括办公及印刷费、邮电费、差旅费、会议费、福利费、日常维修费、专用材料及一般设备购置费、办公用房水电费、办公取暖费、办公用房物业取暖费、公务用车运行维护费以及其他费用。</w:t>
      </w:r>
    </w:p>
    <w:p>
      <w:pPr>
        <w:pStyle w:val="8"/>
        <w:spacing w:line="560" w:lineRule="exact"/>
        <w:ind w:firstLine="640" w:firstLineChars="200"/>
        <w:rPr>
          <w:rFonts w:ascii="仿宋_GB2312" w:eastAsia="仿宋_GB2312"/>
          <w:sz w:val="32"/>
          <w:szCs w:val="32"/>
        </w:rPr>
      </w:pPr>
      <w:r>
        <w:rPr>
          <w:rFonts w:hint="eastAsia" w:ascii="仿宋_GB2312" w:eastAsia="仿宋_GB2312"/>
          <w:sz w:val="32"/>
          <w:szCs w:val="32"/>
        </w:rPr>
        <w:t>4.“三公”经费：指部门使用一般公共预算财政拨款安排的因公出国（境）费、公务用车购置及运行费和公务接待费支出。</w:t>
      </w:r>
    </w:p>
    <w:p>
      <w:pPr>
        <w:pStyle w:val="8"/>
        <w:spacing w:line="560" w:lineRule="exact"/>
        <w:ind w:firstLine="640" w:firstLineChars="200"/>
        <w:rPr>
          <w:rFonts w:ascii="仿宋_GB2312" w:eastAsia="仿宋_GB2312"/>
          <w:sz w:val="32"/>
          <w:szCs w:val="32"/>
        </w:rPr>
      </w:pPr>
      <w:r>
        <w:rPr>
          <w:rFonts w:hint="eastAsia" w:ascii="仿宋_GB2312" w:eastAsia="仿宋_GB2312"/>
          <w:sz w:val="32"/>
          <w:szCs w:val="32"/>
        </w:rPr>
        <w:t>5.财政拨款收入：指本级财政当年拨付的资金。</w:t>
      </w:r>
    </w:p>
    <w:p>
      <w:pPr>
        <w:adjustRightInd/>
        <w:snapToGrid/>
        <w:spacing w:after="0" w:line="560" w:lineRule="exact"/>
        <w:ind w:firstLine="645"/>
        <w:rPr>
          <w:rFonts w:ascii="仿宋_GB2312" w:eastAsia="仿宋_GB2312" w:cs="宋体"/>
          <w:b/>
          <w:bCs/>
          <w:sz w:val="32"/>
          <w:szCs w:val="32"/>
        </w:rPr>
      </w:pPr>
    </w:p>
    <w:p>
      <w:pPr>
        <w:ind w:firstLine="600" w:firstLineChars="200"/>
        <w:rPr>
          <w:rFonts w:ascii="宋体" w:eastAsia="宋体"/>
          <w:color w:val="000000"/>
          <w:sz w:val="30"/>
          <w:szCs w:val="30"/>
        </w:rPr>
      </w:pPr>
    </w:p>
    <w:p>
      <w:pPr>
        <w:adjustRightInd/>
        <w:snapToGrid/>
        <w:spacing w:after="0" w:line="560" w:lineRule="exact"/>
        <w:ind w:firstLine="645"/>
        <w:rPr>
          <w:rFonts w:ascii="仿宋_GB2312" w:eastAsia="仿宋_GB2312" w:cs="宋体"/>
          <w:b/>
          <w:bCs/>
          <w:sz w:val="32"/>
          <w:szCs w:val="32"/>
        </w:rPr>
      </w:pPr>
    </w:p>
    <w:p>
      <w:pPr>
        <w:ind w:right="880" w:firstLine="640" w:firstLineChars="200"/>
        <w:textAlignment w:val="center"/>
        <w:rPr>
          <w:rFonts w:ascii="黑体" w:eastAsia="黑体" w:cs="仿宋_GB2312"/>
          <w:bCs/>
          <w:color w:val="000000"/>
          <w:sz w:val="32"/>
          <w:szCs w:val="32"/>
        </w:rPr>
      </w:pPr>
      <w:r>
        <w:rPr>
          <w:rFonts w:hint="eastAsia" w:ascii="黑体" w:eastAsia="黑体" w:cs="仿宋_GB2312"/>
          <w:bCs/>
          <w:color w:val="000000"/>
          <w:sz w:val="32"/>
          <w:szCs w:val="32"/>
        </w:rPr>
        <w:t>第四部分 部门决算公开表格</w:t>
      </w:r>
    </w:p>
    <w:p>
      <w:pPr>
        <w:suppressLineNumbers/>
        <w:adjustRightInd/>
        <w:snapToGrid/>
        <w:spacing w:after="0" w:line="560" w:lineRule="exact"/>
        <w:ind w:firstLine="643" w:firstLineChars="200"/>
        <w:jc w:val="center"/>
        <w:rPr>
          <w:rFonts w:ascii="仿宋_GB2312" w:eastAsia="仿宋_GB2312" w:cs="宋体"/>
          <w:b/>
          <w:bCs/>
          <w:sz w:val="32"/>
          <w:szCs w:val="32"/>
        </w:rPr>
        <w:sectPr>
          <w:pgSz w:w="16838" w:h="11905" w:orient="landscape"/>
          <w:pgMar w:top="1701" w:right="1304" w:bottom="1417" w:left="1020" w:header="709" w:footer="709" w:gutter="0"/>
          <w:paperSrc/>
          <w:cols w:space="0" w:num="1"/>
          <w:rtlGutter w:val="0"/>
          <w:docGrid w:type="lines" w:linePitch="366" w:charSpace="0"/>
        </w:sectPr>
      </w:pPr>
      <w:r>
        <w:rPr>
          <w:rFonts w:hint="eastAsia" w:ascii="仿宋_GB2312" w:eastAsia="仿宋_GB2312" w:cs="宋体"/>
          <w:b/>
          <w:bCs/>
          <w:sz w:val="32"/>
          <w:szCs w:val="32"/>
        </w:rPr>
        <w:t>（见附件）</w:t>
      </w:r>
    </w:p>
    <w:p>
      <w:pPr>
        <w:adjustRightInd/>
        <w:snapToGrid/>
        <w:spacing w:after="0" w:line="560" w:lineRule="exact"/>
        <w:ind w:firstLine="640" w:firstLineChars="200"/>
        <w:jc w:val="center"/>
        <w:rPr>
          <w:rFonts w:ascii="仿宋_GB2312" w:eastAsia="仿宋_GB2312"/>
          <w:sz w:val="32"/>
          <w:szCs w:val="32"/>
        </w:rPr>
        <w:sectPr>
          <w:pgSz w:w="16838" w:h="11905" w:orient="landscape"/>
          <w:pgMar w:top="1701" w:right="1304" w:bottom="1417" w:left="1020" w:header="709" w:footer="709" w:gutter="0"/>
          <w:paperSrc/>
          <w:cols w:space="0" w:num="1"/>
          <w:rtlGutter w:val="0"/>
          <w:docGrid w:type="lines" w:linePitch="366" w:charSpace="0"/>
        </w:sectPr>
      </w:pPr>
    </w:p>
    <w:p>
      <w:pPr>
        <w:rPr>
          <w:sz w:val="32"/>
          <w:szCs w:val="32"/>
        </w:rPr>
      </w:pPr>
    </w:p>
    <w:sectPr>
      <w:pgSz w:w="16838" w:h="11905" w:orient="landscape"/>
      <w:pgMar w:top="1701" w:right="1304" w:bottom="1417" w:left="1020" w:header="709" w:footer="709" w:gutter="0"/>
      <w:paperSrc/>
      <w:cols w:space="0" w:num="1"/>
      <w:rtlGutter w:val="0"/>
      <w:docGrid w:type="lines" w:linePitch="36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_GB2312">
    <w:altName w:val="MS Mincho"/>
    <w:panose1 w:val="00000000000000000000"/>
    <w:charset w:val="00"/>
    <w:family w:val="auto"/>
    <w:pitch w:val="default"/>
    <w:sig w:usb0="00000000" w:usb1="00000000" w:usb2="00000000" w:usb3="00000000" w:csb0="00000000" w:csb1="0000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tabs>
        <w:tab w:val="left" w:pos="3519"/>
        <w:tab w:val="right" w:pos="8306"/>
        <w:tab w:val="clear" w:pos="8307"/>
      </w:tabs>
    </w:pPr>
    <w:r>
      <w:rPr>
        <w:sz w:val="24"/>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049"/>
              <wp:cNvGraphicFramePr/>
              <a:graphic xmlns:a="http://schemas.openxmlformats.org/drawingml/2006/main">
                <a:graphicData uri="http://schemas.microsoft.com/office/word/2010/wordprocessingShape">
                  <wps:wsp>
                    <wps:cNvSpPr/>
                    <wps:spPr>
                      <a:xfrm>
                        <a:off x="0" y="0"/>
                        <a:ext cx="1828800" cy="1828800"/>
                      </a:xfrm>
                      <a:prstGeom prst="rect">
                        <a:avLst/>
                      </a:prstGeom>
                      <a:noFill/>
                      <a:ln w="9525" cap="flat" cmpd="sng">
                        <a:noFill/>
                        <a:prstDash val="solid"/>
                        <a:miter/>
                      </a:ln>
                    </wps:spPr>
                    <wps:txbx>
                      <w:txbxContent>
                        <w:p>
                          <w:pPr>
                            <w:pStyle w:val="6"/>
                            <w:tabs>
                              <w:tab w:val="right" w:pos="8306"/>
                              <w:tab w:val="clear" w:pos="8307"/>
                            </w:tabs>
                          </w:pPr>
                        </w:p>
                      </w:txbxContent>
                    </wps:txbx>
                    <wps:bodyPr vert="horz" wrap="square" lIns="0" tIns="0" rIns="0" bIns="0" anchor="t" anchorCtr="0" upright="1">
                      <a:noAutofit/>
                    </wps:bodyPr>
                  </wps:wsp>
                </a:graphicData>
              </a:graphic>
            </wp:anchor>
          </w:drawing>
        </mc:Choice>
        <mc:Fallback>
          <w:pict>
            <v:rect id="文本框 2049"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a2Y8tMAAAAFAQAADwAAAAAAAAABACAAAAAiAAAAZHJzL2Rvd25y&#10;ZXYueG1sUEsBAhQAFAAAAAgAh07iQBn5FjYDAgAA+wMAAA4AAAAAAAAAAQAgAAAAIgEAAGRycy9l&#10;Mm9Eb2MueG1sUEsFBgAAAAAGAAYAWQEAAJcFAAAAAA==&#10;">
              <v:fill on="f" focussize="0,0"/>
              <v:stroke on="f" joinstyle="miter"/>
              <v:imagedata o:title=""/>
              <o:lock v:ext="edit" aspectratio="f"/>
              <v:textbox inset="0mm,0mm,0mm,0mm">
                <w:txbxContent>
                  <w:p>
                    <w:pPr>
                      <w:pStyle w:val="6"/>
                      <w:tabs>
                        <w:tab w:val="right" w:pos="8306"/>
                        <w:tab w:val="clear" w:pos="8307"/>
                      </w:tabs>
                    </w:pPr>
                  </w:p>
                </w:txbxContent>
              </v:textbox>
            </v:rect>
          </w:pict>
        </mc:Fallback>
      </mc:AlternateContent>
    </w:r>
    <w:r>
      <w:rPr>
        <w:rStyle w:val="11"/>
      </w:rPr>
      <w:fldChar w:fldCharType="begin"/>
    </w:r>
    <w:r>
      <w:rPr>
        <w:rStyle w:val="11"/>
      </w:rPr>
      <w:instrText xml:space="preserve">Page</w:instrText>
    </w:r>
    <w:r>
      <w:rPr>
        <w:rStyle w:val="11"/>
      </w:rPr>
      <w:fldChar w:fldCharType="separate"/>
    </w:r>
    <w:r>
      <w:rPr>
        <w:rStyle w:val="11"/>
      </w:rPr>
      <w:t>16</w:t>
    </w:r>
    <w:r>
      <w:rPr>
        <w:rStyle w:val="11"/>
      </w:rPr>
      <w:fldChar w:fldCharType="end"/>
    </w:r>
  </w:p>
  <w:p>
    <w:pPr>
      <w:pStyle w:val="6"/>
      <w:tabs>
        <w:tab w:val="left" w:pos="3519"/>
        <w:tab w:val="right" w:pos="8306"/>
        <w:tab w:val="clear" w:pos="8307"/>
      </w:tabs>
      <w:jc w:val="center"/>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pPr>
    <w:r>
      <w:rPr>
        <w:rStyle w:val="11"/>
      </w:rPr>
      <w:fldChar w:fldCharType="begin"/>
    </w:r>
    <w:r>
      <w:rPr>
        <w:rStyle w:val="11"/>
      </w:rPr>
      <w:instrText xml:space="preserve">Page</w:instrText>
    </w:r>
    <w:r>
      <w:rPr>
        <w:rStyle w:val="11"/>
      </w:rPr>
      <w:fldChar w:fldCharType="separate"/>
    </w:r>
    <w:r>
      <w:rPr>
        <w:rStyle w:val="11"/>
      </w:rPr>
      <w:t>1</w:t>
    </w:r>
    <w:r>
      <w:rPr>
        <w:rStyle w:val="11"/>
      </w:rP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right" w:pos="8306"/>
        <w:tab w:val="clear" w:pos="8307"/>
      </w:tabs>
    </w:pPr>
    <w: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2050"/>
              <wp:cNvGraphicFramePr/>
              <a:graphic xmlns:a="http://schemas.openxmlformats.org/drawingml/2006/main">
                <a:graphicData uri="http://schemas.microsoft.com/office/word/2010/wordprocessingShape">
                  <wps:wsp>
                    <wps:cNvSpPr/>
                    <wps:spPr>
                      <a:xfrm>
                        <a:off x="0" y="0"/>
                        <a:ext cx="1828800" cy="1828800"/>
                      </a:xfrm>
                      <a:prstGeom prst="rect">
                        <a:avLst/>
                      </a:prstGeom>
                      <a:noFill/>
                      <a:ln w="9525" cap="flat" cmpd="sng">
                        <a:noFill/>
                        <a:prstDash val="solid"/>
                        <a:miter/>
                      </a:ln>
                    </wps:spPr>
                    <wps:txbx>
                      <w:txbxContent>
                        <w:p>
                          <w:pPr>
                            <w:pStyle w:val="6"/>
                            <w:tabs>
                              <w:tab w:val="right" w:pos="8306"/>
                              <w:tab w:val="clear" w:pos="8307"/>
                            </w:tabs>
                          </w:pPr>
                        </w:p>
                      </w:txbxContent>
                    </wps:txbx>
                    <wps:bodyPr vert="horz" wrap="square" lIns="0" tIns="0" rIns="0" bIns="0" anchor="t" anchorCtr="0" upright="1">
                      <a:noAutofit/>
                    </wps:bodyPr>
                  </wps:wsp>
                </a:graphicData>
              </a:graphic>
            </wp:anchor>
          </w:drawing>
        </mc:Choice>
        <mc:Fallback>
          <w:pict>
            <v:rect id="文本框 2050"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mtmPLTAAAABQEAAA8AAAAAAAAAAQAgAAAAIgAAAGRycy9kb3ducmV2&#10;LnhtbFBLAQIUABQAAAAIAIdO4kDG0RuOAQIAAPsDAAAOAAAAAAAAAAEAIAAAACIBAABkcnMvZTJv&#10;RG9jLnhtbFBLBQYAAAAABgAGAFkBAACVBQAAAAA=&#10;">
              <v:fill on="f" focussize="0,0"/>
              <v:stroke on="f" joinstyle="miter"/>
              <v:imagedata o:title=""/>
              <o:lock v:ext="edit" aspectratio="f"/>
              <v:textbox inset="0mm,0mm,0mm,0mm">
                <w:txbxContent>
                  <w:p>
                    <w:pPr>
                      <w:pStyle w:val="6"/>
                      <w:tabs>
                        <w:tab w:val="right" w:pos="8306"/>
                        <w:tab w:val="clear" w:pos="8307"/>
                      </w:tabs>
                    </w:pP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singleLevel"/>
    <w:tmpl w:val="B5E306ED"/>
    <w:lvl w:ilvl="0" w:tentative="0">
      <w:start w:val="1"/>
      <w:numFmt w:val="decimal"/>
      <w:lvlText w:val="%1."/>
      <w:lvlJc w:val="left"/>
      <w:rPr>
        <w:rFonts w:ascii="宋体" w:hAnsi="宋体" w:eastAsia="宋体" w:cs="宋体"/>
        <w:b/>
        <w:bCs/>
        <w:i w:val="0"/>
        <w:iCs w:val="0"/>
        <w:smallCaps w:val="0"/>
        <w:strike w:val="0"/>
        <w:color w:val="000000"/>
        <w:spacing w:val="0"/>
        <w:w w:val="100"/>
        <w:position w:val="0"/>
        <w:sz w:val="18"/>
        <w:szCs w:val="18"/>
        <w:u w:val="none"/>
        <w:shd w:val="clear" w:color="auto" w:fill="auto"/>
        <w:lang w:val="zh-TW" w:eastAsia="zh-TW" w:bidi="zh-TW"/>
      </w:rPr>
    </w:lvl>
  </w:abstractNum>
  <w:abstractNum w:abstractNumId="1">
    <w:nsid w:val="ED43C8A3"/>
    <w:multiLevelType w:val="multilevel"/>
    <w:tmpl w:val="ED43C8A3"/>
    <w:lvl w:ilvl="0" w:tentative="0">
      <w:start w:val="1"/>
      <w:numFmt w:val="chineseCountingThousand"/>
      <w:lvlText w:val="（%1）"/>
      <w:lvlJc w:val="left"/>
      <w:pPr>
        <w:tabs>
          <w:tab w:val="left" w:pos="1600"/>
        </w:tabs>
        <w:ind w:left="1600" w:hanging="960"/>
      </w:pPr>
    </w:lvl>
    <w:lvl w:ilvl="1" w:tentative="0">
      <w:start w:val="1"/>
      <w:numFmt w:val="lowerLetter"/>
      <w:lvlText w:val="%2)"/>
      <w:lvlJc w:val="left"/>
      <w:pPr>
        <w:tabs>
          <w:tab w:val="left" w:pos="1480"/>
        </w:tabs>
        <w:ind w:left="1480" w:hanging="420"/>
      </w:pPr>
    </w:lvl>
    <w:lvl w:ilvl="2" w:tentative="0">
      <w:start w:val="1"/>
      <w:numFmt w:val="lowerRoman"/>
      <w:lvlText w:val="%3."/>
      <w:lvlJc w:val="right"/>
      <w:pPr>
        <w:tabs>
          <w:tab w:val="left" w:pos="1900"/>
        </w:tabs>
        <w:ind w:left="1900" w:hanging="420"/>
      </w:pPr>
    </w:lvl>
    <w:lvl w:ilvl="3" w:tentative="0">
      <w:start w:val="1"/>
      <w:numFmt w:val="decimal"/>
      <w:lvlText w:val="%4."/>
      <w:lvlJc w:val="left"/>
      <w:pPr>
        <w:tabs>
          <w:tab w:val="left" w:pos="2320"/>
        </w:tabs>
        <w:ind w:left="2320" w:hanging="420"/>
      </w:pPr>
    </w:lvl>
    <w:lvl w:ilvl="4" w:tentative="0">
      <w:start w:val="1"/>
      <w:numFmt w:val="lowerLetter"/>
      <w:lvlText w:val="%5)"/>
      <w:lvlJc w:val="left"/>
      <w:pPr>
        <w:tabs>
          <w:tab w:val="left" w:pos="2740"/>
        </w:tabs>
        <w:ind w:left="2740" w:hanging="420"/>
      </w:pPr>
    </w:lvl>
    <w:lvl w:ilvl="5" w:tentative="0">
      <w:start w:val="1"/>
      <w:numFmt w:val="lowerRoman"/>
      <w:lvlText w:val="%6."/>
      <w:lvlJc w:val="right"/>
      <w:pPr>
        <w:tabs>
          <w:tab w:val="left" w:pos="3160"/>
        </w:tabs>
        <w:ind w:left="3160" w:hanging="420"/>
      </w:pPr>
    </w:lvl>
    <w:lvl w:ilvl="6" w:tentative="0">
      <w:start w:val="1"/>
      <w:numFmt w:val="decimal"/>
      <w:lvlText w:val="%7."/>
      <w:lvlJc w:val="left"/>
      <w:pPr>
        <w:tabs>
          <w:tab w:val="left" w:pos="3580"/>
        </w:tabs>
        <w:ind w:left="3580" w:hanging="420"/>
      </w:pPr>
    </w:lvl>
    <w:lvl w:ilvl="7" w:tentative="0">
      <w:start w:val="1"/>
      <w:numFmt w:val="lowerLetter"/>
      <w:lvlText w:val="%8)"/>
      <w:lvlJc w:val="left"/>
      <w:pPr>
        <w:tabs>
          <w:tab w:val="left" w:pos="4000"/>
        </w:tabs>
        <w:ind w:left="4000" w:hanging="420"/>
      </w:pPr>
    </w:lvl>
    <w:lvl w:ilvl="8" w:tentative="0">
      <w:start w:val="1"/>
      <w:numFmt w:val="lowerRoman"/>
      <w:lvlText w:val="%9."/>
      <w:lvlJc w:val="right"/>
      <w:pPr>
        <w:tabs>
          <w:tab w:val="left" w:pos="4420"/>
        </w:tabs>
        <w:ind w:left="4420" w:hanging="420"/>
      </w:pPr>
    </w:lvl>
  </w:abstractNum>
  <w:abstractNum w:abstractNumId="2">
    <w:nsid w:val="FEB36FA6"/>
    <w:multiLevelType w:val="singleLevel"/>
    <w:tmpl w:val="FEB36FA6"/>
    <w:lvl w:ilvl="0" w:tentative="0">
      <w:start w:val="3"/>
      <w:numFmt w:val="chineseCounting"/>
      <w:suff w:val="nothing"/>
      <w:lvlText w:val="（%1）"/>
      <w:lvlJc w:val="left"/>
      <w:rPr>
        <w:rFonts w:hint="eastAsia"/>
      </w:rPr>
    </w:lvl>
  </w:abstractNum>
  <w:abstractNum w:abstractNumId="3">
    <w:nsid w:val="03D62ECE"/>
    <w:multiLevelType w:val="singleLevel"/>
    <w:tmpl w:val="03D62ECE"/>
    <w:lvl w:ilvl="0" w:tentative="0">
      <w:start w:val="1"/>
      <w:numFmt w:val="decimal"/>
      <w:lvlText w:val="%1."/>
      <w:lvlJc w:val="left"/>
      <w:rPr>
        <w:rFonts w:ascii="宋体" w:hAnsi="宋体" w:eastAsia="宋体" w:cs="宋体"/>
        <w:b/>
        <w:bCs/>
        <w:i w:val="0"/>
        <w:iCs w:val="0"/>
        <w:smallCaps w:val="0"/>
        <w:strike w:val="0"/>
        <w:color w:val="000000"/>
        <w:spacing w:val="0"/>
        <w:w w:val="100"/>
        <w:position w:val="0"/>
        <w:sz w:val="18"/>
        <w:szCs w:val="18"/>
        <w:u w:val="none"/>
        <w:shd w:val="clear" w:color="auto" w:fill="auto"/>
        <w:lang w:val="zh-TW" w:eastAsia="zh-TW" w:bidi="zh-TW"/>
      </w:rPr>
    </w:lvl>
  </w:abstractNum>
  <w:abstractNum w:abstractNumId="4">
    <w:nsid w:val="1474256A"/>
    <w:multiLevelType w:val="singleLevel"/>
    <w:tmpl w:val="1474256A"/>
    <w:lvl w:ilvl="0" w:tentative="0">
      <w:start w:val="2"/>
      <w:numFmt w:val="chineseCounting"/>
      <w:suff w:val="nothing"/>
      <w:lvlText w:val="（%1）"/>
      <w:lvlJc w:val="left"/>
      <w:rPr>
        <w:rFonts w:hint="eastAsia"/>
      </w:rPr>
    </w:lvl>
  </w:abstractNum>
  <w:abstractNum w:abstractNumId="5">
    <w:nsid w:val="25B654F3"/>
    <w:multiLevelType w:val="singleLevel"/>
    <w:tmpl w:val="25B654F3"/>
    <w:lvl w:ilvl="0" w:tentative="0">
      <w:start w:val="1"/>
      <w:numFmt w:val="decimal"/>
      <w:lvlText w:val="%1."/>
      <w:lvlJc w:val="left"/>
      <w:rPr>
        <w:rFonts w:ascii="宋体" w:hAnsi="宋体" w:eastAsia="宋体" w:cs="宋体"/>
        <w:b/>
        <w:bCs/>
        <w:i w:val="0"/>
        <w:iCs w:val="0"/>
        <w:smallCaps w:val="0"/>
        <w:strike w:val="0"/>
        <w:color w:val="000000"/>
        <w:spacing w:val="0"/>
        <w:w w:val="100"/>
        <w:position w:val="0"/>
        <w:sz w:val="18"/>
        <w:szCs w:val="18"/>
        <w:u w:val="none"/>
        <w:shd w:val="clear" w:color="auto" w:fill="auto"/>
        <w:lang w:val="zh-TW" w:eastAsia="zh-TW" w:bidi="zh-TW"/>
      </w:rPr>
    </w:lvl>
  </w:abstractNum>
  <w:num w:numId="1">
    <w:abstractNumId w:val="1"/>
  </w:num>
  <w:num w:numId="2">
    <w:abstractNumId w:val="2"/>
  </w:num>
  <w:num w:numId="3">
    <w:abstractNumId w:val="0"/>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HorizontalSpacing w:val="110"/>
  <w:drawingGridVerticalSpacing w:val="183"/>
  <w:displayHorizontalDrawingGridEvery w:val="0"/>
  <w:displayVerticalDrawingGridEvery w:val="2"/>
  <w:characterSpacingControl w:val="compressPunctuation"/>
  <w:footnotePr>
    <w:footnote w:id="0"/>
    <w:footnote w:id="1"/>
  </w:footnotePr>
  <w:compat>
    <w:spaceForUL/>
    <w:balanceSingleByteDoubleByteWidth/>
    <w:ulTrailSpace/>
    <w:doNotExpandShiftReturn/>
    <w:adjustLineHeightInTable/>
    <w:useFELayout/>
    <w:compatSetting w:name="compatibilityMode" w:uri="http://schemas.microsoft.com/office/word" w:val="14"/>
  </w:compat>
  <w:rsids>
    <w:rsidRoot w:val="00000000"/>
    <w:rsid w:val="02F07800"/>
    <w:rsid w:val="031D5891"/>
    <w:rsid w:val="11D7655F"/>
    <w:rsid w:val="1D007F6A"/>
    <w:rsid w:val="22B30BFB"/>
    <w:rsid w:val="261666CB"/>
    <w:rsid w:val="29F90758"/>
    <w:rsid w:val="346B675F"/>
    <w:rsid w:val="3D730197"/>
    <w:rsid w:val="44F844D3"/>
    <w:rsid w:val="7BBE2166"/>
    <w:rsid w:val="7E5509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kern w:val="44"/>
      <w:sz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sz w:val="32"/>
    </w:rPr>
  </w:style>
  <w:style w:type="paragraph" w:styleId="4">
    <w:name w:val="heading 3"/>
    <w:basedOn w:val="1"/>
    <w:next w:val="1"/>
    <w:uiPriority w:val="0"/>
    <w:pPr>
      <w:keepNext/>
      <w:keepLines/>
      <w:spacing w:before="260" w:after="260" w:line="415" w:lineRule="auto"/>
      <w:outlineLvl w:val="2"/>
    </w:pPr>
    <w:rPr>
      <w:b/>
      <w:sz w:val="32"/>
    </w:rPr>
  </w:style>
  <w:style w:type="character" w:default="1" w:styleId="10">
    <w:name w:val="Default Paragraph Font"/>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alloon Text"/>
    <w:basedOn w:val="1"/>
    <w:qFormat/>
    <w:uiPriority w:val="0"/>
    <w:pPr>
      <w:spacing w:after="0"/>
    </w:pPr>
    <w:rPr>
      <w:sz w:val="18"/>
      <w:szCs w:val="18"/>
    </w:rPr>
  </w:style>
  <w:style w:type="paragraph" w:styleId="6">
    <w:name w:val="footer"/>
    <w:basedOn w:val="1"/>
    <w:qFormat/>
    <w:uiPriority w:val="0"/>
    <w:pPr>
      <w:tabs>
        <w:tab w:val="center" w:pos="4153"/>
        <w:tab w:val="right" w:pos="8307"/>
      </w:tabs>
    </w:pPr>
    <w:rPr>
      <w:sz w:val="18"/>
    </w:rPr>
  </w:style>
  <w:style w:type="paragraph" w:styleId="7">
    <w:name w:val="header"/>
    <w:basedOn w:val="1"/>
    <w:qFormat/>
    <w:uiPriority w:val="0"/>
    <w:pPr>
      <w:pBdr>
        <w:bottom w:val="single" w:color="auto" w:sz="6" w:space="1"/>
      </w:pBdr>
      <w:tabs>
        <w:tab w:val="center" w:pos="4153"/>
        <w:tab w:val="right" w:pos="8307"/>
      </w:tabs>
      <w:jc w:val="center"/>
    </w:pPr>
    <w:rPr>
      <w:sz w:val="18"/>
    </w:rPr>
  </w:style>
  <w:style w:type="paragraph" w:styleId="8">
    <w:name w:val="Normal (Web)"/>
    <w:next w:val="7"/>
    <w:qFormat/>
    <w:uiPriority w:val="0"/>
    <w:rPr>
      <w:rFonts w:ascii="宋体" w:hAnsi="Times New Roman" w:eastAsia="宋体" w:cs="宋体"/>
      <w:sz w:val="24"/>
      <w:szCs w:val="24"/>
      <w:lang w:val="en-US" w:eastAsia="zh-CN" w:bidi="ar-SA"/>
    </w:rPr>
  </w:style>
  <w:style w:type="character" w:styleId="11">
    <w:name w:val="page number"/>
    <w:basedOn w:val="10"/>
    <w:qFormat/>
    <w:uiPriority w:val="0"/>
  </w:style>
  <w:style w:type="paragraph" w:customStyle="1" w:styleId="12">
    <w:name w:val="Other|1"/>
    <w:basedOn w:val="1"/>
    <w:qFormat/>
    <w:uiPriority w:val="0"/>
    <w:pPr>
      <w:widowControl w:val="0"/>
      <w:shd w:val="clear" w:color="auto" w:fill="auto"/>
      <w:spacing w:line="434" w:lineRule="auto"/>
      <w:ind w:firstLine="400"/>
    </w:pPr>
    <w:rPr>
      <w:rFonts w:ascii="宋体" w:hAnsi="宋体" w:eastAsia="宋体" w:cs="宋体"/>
      <w:sz w:val="28"/>
      <w:szCs w:val="28"/>
      <w:u w:val="none"/>
      <w:shd w:val="clear" w:color="auto" w:fill="auto"/>
      <w:lang w:val="zh-TW" w:eastAsia="zh-TW" w:bidi="zh-TW"/>
    </w:rPr>
  </w:style>
  <w:style w:type="paragraph" w:customStyle="1" w:styleId="13">
    <w:name w:val="Body text|3"/>
    <w:basedOn w:val="1"/>
    <w:qFormat/>
    <w:uiPriority w:val="0"/>
    <w:pPr>
      <w:widowControl w:val="0"/>
      <w:shd w:val="clear" w:color="auto" w:fill="auto"/>
      <w:spacing w:after="200" w:line="310" w:lineRule="exact"/>
      <w:ind w:left="200" w:hanging="200"/>
    </w:pPr>
    <w:rPr>
      <w:rFonts w:ascii="宋体" w:hAnsi="宋体" w:eastAsia="宋体" w:cs="宋体"/>
      <w:sz w:val="20"/>
      <w:szCs w:val="20"/>
      <w:u w:val="none"/>
      <w:shd w:val="clear" w:color="auto" w:fill="auto"/>
      <w:lang w:val="zh-TW" w:eastAsia="zh-TW" w:bidi="zh-TW"/>
    </w:rPr>
  </w:style>
  <w:style w:type="paragraph" w:customStyle="1" w:styleId="14">
    <w:name w:val="Other|2"/>
    <w:basedOn w:val="1"/>
    <w:qFormat/>
    <w:uiPriority w:val="0"/>
    <w:pPr>
      <w:widowControl w:val="0"/>
      <w:shd w:val="clear" w:color="auto" w:fill="auto"/>
      <w:spacing w:line="194" w:lineRule="exact"/>
      <w:jc w:val="center"/>
    </w:pPr>
    <w:rPr>
      <w:rFonts w:ascii="宋体" w:hAnsi="宋体" w:eastAsia="宋体" w:cs="宋体"/>
      <w:sz w:val="16"/>
      <w:szCs w:val="16"/>
      <w:u w:val="none"/>
      <w:shd w:val="clear" w:color="auto" w:fill="auto"/>
      <w:lang w:val="zh-TW" w:eastAsia="zh-TW" w:bidi="zh-TW"/>
    </w:rPr>
  </w:style>
  <w:style w:type="paragraph" w:customStyle="1" w:styleId="15">
    <w:name w:val="Body text|2"/>
    <w:basedOn w:val="1"/>
    <w:qFormat/>
    <w:uiPriority w:val="0"/>
    <w:pPr>
      <w:widowControl w:val="0"/>
      <w:shd w:val="clear" w:color="auto" w:fill="auto"/>
      <w:spacing w:after="60" w:line="187" w:lineRule="exact"/>
      <w:ind w:left="80" w:firstLine="250"/>
    </w:pPr>
    <w:rPr>
      <w:rFonts w:ascii="宋体" w:hAnsi="宋体" w:eastAsia="宋体" w:cs="宋体"/>
      <w:sz w:val="16"/>
      <w:szCs w:val="16"/>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chart" Target="charts/chart8.xml"/><Relationship Id="rId14" Type="http://schemas.openxmlformats.org/officeDocument/2006/relationships/chart" Target="charts/chart7.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8.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8.xml.rels><?xml version="1.0" encoding="UTF-8" standalone="yes"?>
<Relationships xmlns="http://schemas.openxmlformats.org/package/2006/relationships"><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人员情况</c:v>
                </c:pt>
              </c:strCache>
            </c:strRef>
          </c:tx>
          <c:spPr>
            <a:solidFill>
              <a:srgbClr val="4F81BD"/>
            </a:solidFill>
            <a:ln>
              <a:noFill/>
            </a:ln>
          </c:spPr>
          <c:explosion val="0"/>
          <c:dPt>
            <c:idx val="0"/>
            <c:bubble3D val="0"/>
            <c:spPr>
              <a:solidFill>
                <a:srgbClr val="4F81BD"/>
              </a:solidFill>
              <a:ln>
                <a:noFill/>
              </a:ln>
            </c:spPr>
          </c:dPt>
          <c:dPt>
            <c:idx val="1"/>
            <c:bubble3D val="0"/>
            <c:spPr>
              <a:solidFill>
                <a:srgbClr val="C0504D"/>
              </a:solidFill>
              <a:ln>
                <a:noFill/>
              </a:ln>
            </c:spPr>
          </c:dPt>
          <c:dLbls>
            <c:dLbl>
              <c:idx val="0"/>
              <c:delete val="1"/>
            </c:dLbl>
            <c:dLbl>
              <c:idx val="1"/>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bestFit"/>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实有在编人员</c:v>
                </c:pt>
                <c:pt idx="1">
                  <c:v>退休</c:v>
                </c:pt>
              </c:strCache>
            </c:strRef>
          </c:cat>
          <c:val>
            <c:numRef>
              <c:f>'Sheet1'!$B$2:$B$3</c:f>
              <c:numCache>
                <c:formatCode>General</c:formatCode>
                <c:ptCount val="2"/>
                <c:pt idx="0">
                  <c:v>12</c:v>
                </c:pt>
                <c:pt idx="1">
                  <c:v>1</c:v>
                </c:pt>
              </c:numCache>
            </c:numRef>
          </c:val>
        </c:ser>
        <c:dLbls>
          <c:showLegendKey val="0"/>
          <c:showVal val="0"/>
          <c:showCatName val="0"/>
          <c:showSerName val="0"/>
          <c:showPercent val="0"/>
          <c:showBubbleSize val="0"/>
          <c:showLeaderLines val="1"/>
        </c:dLbls>
        <c:firstSliceAng val="0"/>
      </c:pieChart>
      <c:spPr>
        <a:noFill/>
      </c:spPr>
    </c:plotArea>
    <c:legend>
      <c:legendPos val="r"/>
      <c:layout/>
      <c:overlay val="0"/>
      <c:spPr>
        <a:noFill/>
        <a:ln>
          <a:noFill/>
        </a:ln>
      </c:spPr>
      <c:txPr>
        <a:bodyPr rot="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legend>
    <c:plotVisOnly val="1"/>
    <c:dispBlanksAs val="gap"/>
    <c:showDLblsOverMax val="0"/>
  </c:chart>
  <c:txPr>
    <a:bodyPr/>
    <a:lstStyle/>
    <a:p>
      <a:pPr>
        <a:defRPr lang="zh-CN" sz="1000" b="0" i="0" u="none" strike="noStrike" baseline="0">
          <a:solidFill>
            <a:srgbClr val="000000"/>
          </a:solidFill>
          <a:latin typeface="Times New Roman" panose="02020603050405020304"/>
          <a:ea typeface="宋体" panose="02010600030101010101" charset="-122"/>
          <a:cs typeface="Arial" panose="020B0604020202020204" pitchFamily="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 (2)'!$B$1</c:f>
              <c:strCache>
                <c:ptCount val="1"/>
                <c:pt idx="0">
                  <c:v>总收入（万元）</c:v>
                </c:pt>
              </c:strCache>
            </c:strRef>
          </c:tx>
          <c:spPr>
            <a:solidFill>
              <a:srgbClr val="4F81BD"/>
            </a:solidFill>
            <a:ln>
              <a:noFill/>
            </a:ln>
          </c:spPr>
          <c:invertIfNegative val="0"/>
          <c:dLbls>
            <c:dLbl>
              <c:idx val="0"/>
              <c:delete val="1"/>
            </c:dLbl>
            <c:dLbl>
              <c:idx val="1"/>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 (2)'!$A$2:$A$3</c:f>
              <c:strCache>
                <c:ptCount val="2"/>
                <c:pt idx="0">
                  <c:v>2019年</c:v>
                </c:pt>
                <c:pt idx="1">
                  <c:v>2018年</c:v>
                </c:pt>
              </c:strCache>
            </c:strRef>
          </c:cat>
          <c:val>
            <c:numRef>
              <c:f>'Sheet1 (2)'!$B$2:$B$3</c:f>
              <c:numCache>
                <c:formatCode>General</c:formatCode>
                <c:ptCount val="2"/>
                <c:pt idx="0">
                  <c:v>382.04</c:v>
                </c:pt>
                <c:pt idx="1">
                  <c:v>380.51</c:v>
                </c:pt>
              </c:numCache>
            </c:numRef>
          </c:val>
        </c:ser>
        <c:dLbls>
          <c:showLegendKey val="0"/>
          <c:showVal val="0"/>
          <c:showCatName val="0"/>
          <c:showSerName val="0"/>
          <c:showPercent val="0"/>
          <c:showBubbleSize val="0"/>
        </c:dLbls>
        <c:gapWidth val="150"/>
        <c:axId val="0"/>
        <c:axId val="1"/>
      </c:barChart>
      <c:catAx>
        <c:axId val="0"/>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1"/>
        <c:crosses val="autoZero"/>
        <c:auto val="1"/>
        <c:lblAlgn val="ctr"/>
        <c:lblOffset val="100"/>
        <c:noMultiLvlLbl val="0"/>
      </c:catAx>
      <c:valAx>
        <c:axId val="1"/>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0"/>
        <c:crossesAt val="1"/>
        <c:crossBetween val="between"/>
      </c:valAx>
      <c:spPr>
        <a:solidFill>
          <a:srgbClr val="FFFFFF"/>
        </a:solidFill>
      </c:spPr>
    </c:plotArea>
    <c:legend>
      <c:legendPos val="r"/>
      <c:layout/>
      <c:overlay val="0"/>
      <c:spPr>
        <a:noFill/>
        <a:ln>
          <a:noFill/>
        </a:ln>
      </c:spPr>
      <c:txPr>
        <a:bodyPr rot="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legend>
    <c:plotVisOnly val="1"/>
    <c:dispBlanksAs val="gap"/>
    <c:showDLblsOverMax val="0"/>
  </c:chart>
  <c:txPr>
    <a:bodyPr/>
    <a:lstStyle/>
    <a:p>
      <a:pPr>
        <a:defRPr lang="zh-CN" sz="1000" b="0" i="0" u="none" strike="noStrike" baseline="0">
          <a:solidFill>
            <a:srgbClr val="000000"/>
          </a:solidFill>
          <a:latin typeface="Times New Roman" panose="02020603050405020304"/>
          <a:ea typeface="宋体" panose="02010600030101010101" charset="-122"/>
          <a:cs typeface="Arial" panose="020B0604020202020204" pitchFamily="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 (3)'!$B$1</c:f>
              <c:strCache>
                <c:ptCount val="1"/>
                <c:pt idx="0">
                  <c:v>总支出（万元）</c:v>
                </c:pt>
              </c:strCache>
            </c:strRef>
          </c:tx>
          <c:spPr>
            <a:solidFill>
              <a:srgbClr val="4F81BD"/>
            </a:solidFill>
            <a:ln>
              <a:noFill/>
            </a:ln>
          </c:spPr>
          <c:invertIfNegative val="0"/>
          <c:dLbls>
            <c:dLbl>
              <c:idx val="0"/>
              <c:delete val="1"/>
            </c:dLbl>
            <c:dLbl>
              <c:idx val="1"/>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 (3)'!$A$2:$A$3</c:f>
              <c:strCache>
                <c:ptCount val="2"/>
                <c:pt idx="0">
                  <c:v>2019年</c:v>
                </c:pt>
                <c:pt idx="1">
                  <c:v>2018年</c:v>
                </c:pt>
              </c:strCache>
            </c:strRef>
          </c:cat>
          <c:val>
            <c:numRef>
              <c:f>'Sheet1 (3)'!$B$2:$B$3</c:f>
              <c:numCache>
                <c:formatCode>General</c:formatCode>
                <c:ptCount val="2"/>
                <c:pt idx="0">
                  <c:v>380.51</c:v>
                </c:pt>
                <c:pt idx="1">
                  <c:v>677.59</c:v>
                </c:pt>
              </c:numCache>
            </c:numRef>
          </c:val>
        </c:ser>
        <c:dLbls>
          <c:showLegendKey val="0"/>
          <c:showVal val="0"/>
          <c:showCatName val="0"/>
          <c:showSerName val="0"/>
          <c:showPercent val="0"/>
          <c:showBubbleSize val="0"/>
        </c:dLbls>
        <c:gapWidth val="150"/>
        <c:axId val="0"/>
        <c:axId val="1"/>
      </c:barChart>
      <c:catAx>
        <c:axId val="0"/>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1"/>
        <c:crosses val="autoZero"/>
        <c:auto val="1"/>
        <c:lblAlgn val="ctr"/>
        <c:lblOffset val="100"/>
        <c:noMultiLvlLbl val="0"/>
      </c:catAx>
      <c:valAx>
        <c:axId val="1"/>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0"/>
        <c:crossesAt val="1"/>
        <c:crossBetween val="between"/>
      </c:valAx>
      <c:spPr>
        <a:solidFill>
          <a:srgbClr val="FFFFFF"/>
        </a:solidFill>
      </c:spPr>
    </c:plotArea>
    <c:legend>
      <c:legendPos val="r"/>
      <c:layout/>
      <c:overlay val="0"/>
      <c:spPr>
        <a:noFill/>
        <a:ln>
          <a:noFill/>
        </a:ln>
      </c:spPr>
      <c:txPr>
        <a:bodyPr rot="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legend>
    <c:plotVisOnly val="1"/>
    <c:dispBlanksAs val="gap"/>
    <c:showDLblsOverMax val="0"/>
  </c:chart>
  <c:txPr>
    <a:bodyPr/>
    <a:lstStyle/>
    <a:p>
      <a:pPr>
        <a:defRPr lang="zh-CN" sz="1000" b="0" i="0" u="none" strike="noStrike" baseline="0">
          <a:solidFill>
            <a:srgbClr val="000000"/>
          </a:solidFill>
          <a:latin typeface="Times New Roman" panose="02020603050405020304"/>
          <a:ea typeface="宋体" panose="02010600030101010101" charset="-122"/>
          <a:cs typeface="Arial" panose="020B0604020202020204" pitchFamily="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 (4)'!$B$1</c:f>
              <c:strCache>
                <c:ptCount val="1"/>
                <c:pt idx="0">
                  <c:v>收入（万元）</c:v>
                </c:pt>
              </c:strCache>
            </c:strRef>
          </c:tx>
          <c:spPr>
            <a:solidFill>
              <a:srgbClr val="4F81BD"/>
            </a:solidFill>
            <a:ln>
              <a:noFill/>
            </a:ln>
          </c:spPr>
          <c:invertIfNegative val="0"/>
          <c:dLbls>
            <c:dLbl>
              <c:idx val="0"/>
              <c:delete val="1"/>
            </c:dLbl>
            <c:dLbl>
              <c:idx val="1"/>
              <c:delete val="1"/>
            </c:dLbl>
            <c:dLbl>
              <c:idx val="2"/>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 (4)'!$A$2:$A$4</c:f>
              <c:strCache>
                <c:ptCount val="3"/>
                <c:pt idx="0">
                  <c:v>财政拨款收入</c:v>
                </c:pt>
                <c:pt idx="1">
                  <c:v>其他收入</c:v>
                </c:pt>
                <c:pt idx="2">
                  <c:v>上年结余</c:v>
                </c:pt>
              </c:strCache>
            </c:strRef>
          </c:cat>
          <c:val>
            <c:numRef>
              <c:f>'Sheet1 (4)'!$B$2:$B$4</c:f>
              <c:numCache>
                <c:formatCode>General</c:formatCode>
                <c:ptCount val="3"/>
                <c:pt idx="0">
                  <c:v>382.04</c:v>
                </c:pt>
                <c:pt idx="1">
                  <c:v>31.5</c:v>
                </c:pt>
                <c:pt idx="2">
                  <c:v>0.5</c:v>
                </c:pt>
              </c:numCache>
            </c:numRef>
          </c:val>
        </c:ser>
        <c:dLbls>
          <c:showLegendKey val="0"/>
          <c:showVal val="0"/>
          <c:showCatName val="0"/>
          <c:showSerName val="0"/>
          <c:showPercent val="0"/>
          <c:showBubbleSize val="0"/>
        </c:dLbls>
        <c:gapWidth val="150"/>
        <c:axId val="0"/>
        <c:axId val="1"/>
      </c:barChart>
      <c:catAx>
        <c:axId val="0"/>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1"/>
        <c:crosses val="autoZero"/>
        <c:auto val="1"/>
        <c:lblAlgn val="ctr"/>
        <c:lblOffset val="100"/>
        <c:noMultiLvlLbl val="0"/>
      </c:catAx>
      <c:valAx>
        <c:axId val="1"/>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0"/>
        <c:crossesAt val="1"/>
        <c:crossBetween val="between"/>
      </c:valAx>
      <c:spPr>
        <a:solidFill>
          <a:srgbClr val="FFFFFF"/>
        </a:solidFill>
      </c:spPr>
    </c:plotArea>
    <c:legend>
      <c:legendPos val="r"/>
      <c:layout/>
      <c:overlay val="0"/>
      <c:spPr>
        <a:noFill/>
        <a:ln>
          <a:noFill/>
        </a:ln>
      </c:spPr>
      <c:txPr>
        <a:bodyPr rot="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legend>
    <c:plotVisOnly val="1"/>
    <c:dispBlanksAs val="gap"/>
    <c:showDLblsOverMax val="0"/>
  </c:chart>
  <c:txPr>
    <a:bodyPr/>
    <a:lstStyle/>
    <a:p>
      <a:pPr>
        <a:defRPr lang="zh-CN" sz="1000" b="0" i="0" u="none" strike="noStrike" baseline="0">
          <a:solidFill>
            <a:srgbClr val="000000"/>
          </a:solidFill>
          <a:latin typeface="Times New Roman" panose="02020603050405020304"/>
          <a:ea typeface="宋体" panose="02010600030101010101" charset="-122"/>
          <a:cs typeface="Arial" panose="020B0604020202020204" pitchFamily="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 (5)'!$B$1</c:f>
              <c:strCache>
                <c:ptCount val="1"/>
                <c:pt idx="0">
                  <c:v>支出</c:v>
                </c:pt>
              </c:strCache>
            </c:strRef>
          </c:tx>
          <c:spPr>
            <a:solidFill>
              <a:srgbClr val="4F81BD"/>
            </a:solidFill>
            <a:ln>
              <a:noFill/>
            </a:ln>
          </c:spPr>
          <c:invertIfNegative val="0"/>
          <c:dLbls>
            <c:dLbl>
              <c:idx val="0"/>
              <c:delete val="1"/>
            </c:dLbl>
            <c:dLbl>
              <c:idx val="1"/>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 (5)'!$A$2:$A$3</c:f>
              <c:strCache>
                <c:ptCount val="2"/>
                <c:pt idx="0">
                  <c:v>基本支出</c:v>
                </c:pt>
                <c:pt idx="1">
                  <c:v>项目支出</c:v>
                </c:pt>
              </c:strCache>
            </c:strRef>
          </c:cat>
          <c:val>
            <c:numRef>
              <c:f>'Sheet1 (5)'!$B$2:$B$3</c:f>
              <c:numCache>
                <c:formatCode>General</c:formatCode>
                <c:ptCount val="2"/>
                <c:pt idx="0">
                  <c:v>291.36</c:v>
                </c:pt>
                <c:pt idx="1">
                  <c:v>89.15</c:v>
                </c:pt>
              </c:numCache>
            </c:numRef>
          </c:val>
        </c:ser>
        <c:dLbls>
          <c:showLegendKey val="0"/>
          <c:showVal val="0"/>
          <c:showCatName val="0"/>
          <c:showSerName val="0"/>
          <c:showPercent val="0"/>
          <c:showBubbleSize val="0"/>
        </c:dLbls>
        <c:gapWidth val="150"/>
        <c:axId val="0"/>
        <c:axId val="1"/>
      </c:barChart>
      <c:catAx>
        <c:axId val="0"/>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1"/>
        <c:crosses val="autoZero"/>
        <c:auto val="1"/>
        <c:lblAlgn val="ctr"/>
        <c:lblOffset val="100"/>
        <c:noMultiLvlLbl val="0"/>
      </c:catAx>
      <c:valAx>
        <c:axId val="1"/>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0"/>
        <c:crossesAt val="1"/>
        <c:crossBetween val="between"/>
      </c:valAx>
      <c:spPr>
        <a:solidFill>
          <a:srgbClr val="FFFFFF"/>
        </a:solidFill>
      </c:spPr>
    </c:plotArea>
    <c:legend>
      <c:legendPos val="r"/>
      <c:layout/>
      <c:overlay val="0"/>
      <c:spPr>
        <a:noFill/>
        <a:ln>
          <a:noFill/>
        </a:ln>
      </c:spPr>
      <c:txPr>
        <a:bodyPr rot="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legend>
    <c:plotVisOnly val="1"/>
    <c:dispBlanksAs val="gap"/>
    <c:showDLblsOverMax val="0"/>
  </c:chart>
  <c:txPr>
    <a:bodyPr/>
    <a:lstStyle/>
    <a:p>
      <a:pPr>
        <a:defRPr lang="zh-CN" sz="1000" b="0" i="0" u="none" strike="noStrike" baseline="0">
          <a:solidFill>
            <a:srgbClr val="000000"/>
          </a:solidFill>
          <a:latin typeface="Times New Roman" panose="02020603050405020304"/>
          <a:ea typeface="宋体" panose="02010600030101010101" charset="-122"/>
          <a:cs typeface="Arial" panose="020B0604020202020204" pitchFamily="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 (6)'!$B$1</c:f>
              <c:strCache>
                <c:ptCount val="1"/>
                <c:pt idx="0">
                  <c:v>收入</c:v>
                </c:pt>
              </c:strCache>
            </c:strRef>
          </c:tx>
          <c:spPr>
            <a:solidFill>
              <a:srgbClr val="4F81BD"/>
            </a:solidFill>
            <a:ln>
              <a:noFill/>
            </a:ln>
          </c:spPr>
          <c:invertIfNegative val="0"/>
          <c:dLbls>
            <c:dLbl>
              <c:idx val="0"/>
              <c:delete val="1"/>
            </c:dLbl>
            <c:dLbl>
              <c:idx val="1"/>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 (6)'!$A$2:$A$3</c:f>
              <c:strCache>
                <c:ptCount val="2"/>
                <c:pt idx="0">
                  <c:v>2019年</c:v>
                </c:pt>
                <c:pt idx="1">
                  <c:v>2019年</c:v>
                </c:pt>
              </c:strCache>
            </c:strRef>
          </c:cat>
          <c:val>
            <c:numRef>
              <c:f>'Sheet1 (6)'!$B$2:$B$3</c:f>
              <c:numCache>
                <c:formatCode>General</c:formatCode>
                <c:ptCount val="2"/>
                <c:pt idx="0">
                  <c:v>382.04</c:v>
                </c:pt>
                <c:pt idx="1">
                  <c:v>0</c:v>
                </c:pt>
              </c:numCache>
            </c:numRef>
          </c:val>
        </c:ser>
        <c:ser>
          <c:idx val="1"/>
          <c:order val="1"/>
          <c:tx>
            <c:strRef>
              <c:f>'Sheet1 (6)'!$C$1</c:f>
              <c:strCache>
                <c:ptCount val="1"/>
                <c:pt idx="0">
                  <c:v>支出</c:v>
                </c:pt>
              </c:strCache>
            </c:strRef>
          </c:tx>
          <c:spPr>
            <a:solidFill>
              <a:srgbClr val="C0504D"/>
            </a:solidFill>
            <a:ln>
              <a:noFill/>
            </a:ln>
          </c:spPr>
          <c:invertIfNegative val="0"/>
          <c:dLbls>
            <c:dLbl>
              <c:idx val="0"/>
              <c:delete val="1"/>
            </c:dLbl>
            <c:dLbl>
              <c:idx val="1"/>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 (6)'!$A$2:$A$3</c:f>
              <c:strCache>
                <c:ptCount val="2"/>
                <c:pt idx="0">
                  <c:v>2019年</c:v>
                </c:pt>
                <c:pt idx="1">
                  <c:v>2019年</c:v>
                </c:pt>
              </c:strCache>
            </c:strRef>
          </c:cat>
          <c:val>
            <c:numRef>
              <c:f>'Sheet1 (6)'!$C$2:$C$3</c:f>
              <c:numCache>
                <c:formatCode>General</c:formatCode>
                <c:ptCount val="2"/>
                <c:pt idx="0">
                  <c:v>0</c:v>
                </c:pt>
                <c:pt idx="1">
                  <c:v>380.51</c:v>
                </c:pt>
              </c:numCache>
            </c:numRef>
          </c:val>
        </c:ser>
        <c:dLbls>
          <c:showLegendKey val="0"/>
          <c:showVal val="0"/>
          <c:showCatName val="0"/>
          <c:showSerName val="0"/>
          <c:showPercent val="0"/>
          <c:showBubbleSize val="0"/>
        </c:dLbls>
        <c:gapWidth val="150"/>
        <c:axId val="0"/>
        <c:axId val="1"/>
      </c:barChart>
      <c:catAx>
        <c:axId val="0"/>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1"/>
        <c:crosses val="autoZero"/>
        <c:auto val="1"/>
        <c:lblAlgn val="ctr"/>
        <c:lblOffset val="100"/>
        <c:noMultiLvlLbl val="0"/>
      </c:catAx>
      <c:valAx>
        <c:axId val="1"/>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0"/>
        <c:crossesAt val="1"/>
        <c:crossBetween val="between"/>
      </c:valAx>
      <c:spPr>
        <a:solidFill>
          <a:srgbClr val="FFFFFF"/>
        </a:solidFill>
      </c:spPr>
    </c:plotArea>
    <c:legend>
      <c:legendPos val="r"/>
      <c:layout/>
      <c:overlay val="0"/>
      <c:spPr>
        <a:noFill/>
        <a:ln>
          <a:noFill/>
        </a:ln>
      </c:spPr>
      <c:txPr>
        <a:bodyPr rot="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legend>
    <c:plotVisOnly val="1"/>
    <c:dispBlanksAs val="gap"/>
    <c:showDLblsOverMax val="0"/>
  </c:chart>
  <c:txPr>
    <a:bodyPr/>
    <a:lstStyle/>
    <a:p>
      <a:pPr>
        <a:defRPr lang="zh-CN" sz="1000" b="0" i="0" u="none" strike="noStrike" baseline="0">
          <a:solidFill>
            <a:srgbClr val="000000"/>
          </a:solidFill>
          <a:latin typeface="Times New Roman" panose="02020603050405020304"/>
          <a:ea typeface="宋体" panose="02010600030101010101" charset="-122"/>
          <a:cs typeface="Arial" panose="020B0604020202020204" pitchFamily="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 (7)'!$B$1</c:f>
              <c:strCache>
                <c:ptCount val="1"/>
                <c:pt idx="0">
                  <c:v>总支出（万元）</c:v>
                </c:pt>
              </c:strCache>
            </c:strRef>
          </c:tx>
          <c:spPr>
            <a:solidFill>
              <a:srgbClr val="4F81BD"/>
            </a:solidFill>
            <a:ln>
              <a:noFill/>
            </a:ln>
          </c:spPr>
          <c:invertIfNegative val="0"/>
          <c:dLbls>
            <c:dLbl>
              <c:idx val="0"/>
              <c:delete val="1"/>
            </c:dLbl>
            <c:dLbl>
              <c:idx val="1"/>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 (7)'!$A$2:$A$3</c:f>
              <c:strCache>
                <c:ptCount val="2"/>
                <c:pt idx="0">
                  <c:v>2019年</c:v>
                </c:pt>
                <c:pt idx="1">
                  <c:v>2018年</c:v>
                </c:pt>
              </c:strCache>
            </c:strRef>
          </c:cat>
          <c:val>
            <c:numRef>
              <c:f>'Sheet1 (7)'!$B$2:$B$3</c:f>
              <c:numCache>
                <c:formatCode>General</c:formatCode>
                <c:ptCount val="2"/>
                <c:pt idx="0">
                  <c:v>380.51</c:v>
                </c:pt>
                <c:pt idx="1">
                  <c:v>677.59</c:v>
                </c:pt>
              </c:numCache>
            </c:numRef>
          </c:val>
        </c:ser>
        <c:dLbls>
          <c:showLegendKey val="0"/>
          <c:showVal val="0"/>
          <c:showCatName val="0"/>
          <c:showSerName val="0"/>
          <c:showPercent val="0"/>
          <c:showBubbleSize val="0"/>
        </c:dLbls>
        <c:gapWidth val="150"/>
        <c:axId val="0"/>
        <c:axId val="1"/>
      </c:barChart>
      <c:catAx>
        <c:axId val="0"/>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1"/>
        <c:crosses val="autoZero"/>
        <c:auto val="1"/>
        <c:lblAlgn val="ctr"/>
        <c:lblOffset val="100"/>
        <c:noMultiLvlLbl val="0"/>
      </c:catAx>
      <c:valAx>
        <c:axId val="1"/>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0"/>
        <c:crossesAt val="1"/>
        <c:crossBetween val="between"/>
      </c:valAx>
      <c:spPr>
        <a:solidFill>
          <a:srgbClr val="FFFFFF"/>
        </a:solidFill>
      </c:spPr>
    </c:plotArea>
    <c:legend>
      <c:legendPos val="r"/>
      <c:layout/>
      <c:overlay val="0"/>
      <c:spPr>
        <a:noFill/>
        <a:ln>
          <a:noFill/>
        </a:ln>
      </c:spPr>
      <c:txPr>
        <a:bodyPr rot="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legend>
    <c:plotVisOnly val="1"/>
    <c:dispBlanksAs val="gap"/>
    <c:showDLblsOverMax val="0"/>
  </c:chart>
  <c:txPr>
    <a:bodyPr/>
    <a:lstStyle/>
    <a:p>
      <a:pPr>
        <a:defRPr lang="zh-CN" sz="1000" b="0" i="0" u="none" strike="noStrike" baseline="0">
          <a:solidFill>
            <a:srgbClr val="000000"/>
          </a:solidFill>
          <a:latin typeface="Times New Roman" panose="02020603050405020304"/>
          <a:ea typeface="宋体" panose="02010600030101010101" charset="-122"/>
          <a:cs typeface="Arial" panose="020B0604020202020204" pitchFamily="2"/>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 (8)'!$B$1</c:f>
              <c:strCache>
                <c:ptCount val="1"/>
                <c:pt idx="0">
                  <c:v>“三公”经费财政拨款支出</c:v>
                </c:pt>
              </c:strCache>
            </c:strRef>
          </c:tx>
          <c:spPr>
            <a:solidFill>
              <a:srgbClr val="4F81BD"/>
            </a:solidFill>
            <a:ln>
              <a:noFill/>
            </a:ln>
          </c:spPr>
          <c:invertIfNegative val="0"/>
          <c:dLbls>
            <c:dLbl>
              <c:idx val="0"/>
              <c:delete val="1"/>
            </c:dLbl>
            <c:dLbl>
              <c:idx val="1"/>
              <c:delete val="1"/>
            </c:dLbl>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 (8)'!$A$2:$A$5</c:f>
              <c:strCache>
                <c:ptCount val="4"/>
                <c:pt idx="0">
                  <c:v>因公出国</c:v>
                </c:pt>
                <c:pt idx="1">
                  <c:v>公务用车购置</c:v>
                </c:pt>
                <c:pt idx="2">
                  <c:v>公车维护 </c:v>
                </c:pt>
                <c:pt idx="3">
                  <c:v>公务接待</c:v>
                </c:pt>
              </c:strCache>
            </c:strRef>
          </c:cat>
          <c:val>
            <c:numRef>
              <c:f>'Sheet1 (8)'!$B$2:$B$5</c:f>
              <c:numCache>
                <c:formatCode>General</c:formatCode>
                <c:ptCount val="4"/>
                <c:pt idx="0">
                  <c:v>0</c:v>
                </c:pt>
                <c:pt idx="1">
                  <c:v>0</c:v>
                </c:pt>
                <c:pt idx="2">
                  <c:v>1.19</c:v>
                </c:pt>
                <c:pt idx="3">
                  <c:v>0</c:v>
                </c:pt>
              </c:numCache>
            </c:numRef>
          </c:val>
        </c:ser>
        <c:dLbls>
          <c:showLegendKey val="0"/>
          <c:showVal val="0"/>
          <c:showCatName val="0"/>
          <c:showSerName val="0"/>
          <c:showPercent val="0"/>
          <c:showBubbleSize val="0"/>
        </c:dLbls>
        <c:gapWidth val="150"/>
        <c:axId val="0"/>
        <c:axId val="1"/>
      </c:barChart>
      <c:catAx>
        <c:axId val="0"/>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1"/>
        <c:crosses val="autoZero"/>
        <c:auto val="1"/>
        <c:lblAlgn val="ctr"/>
        <c:lblOffset val="100"/>
        <c:noMultiLvlLbl val="0"/>
      </c:catAx>
      <c:valAx>
        <c:axId val="1"/>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0"/>
        <c:crossesAt val="1"/>
        <c:crossBetween val="between"/>
      </c:valAx>
      <c:spPr>
        <a:solidFill>
          <a:srgbClr val="FFFFFF"/>
        </a:solidFill>
      </c:spPr>
    </c:plotArea>
    <c:legend>
      <c:legendPos val="r"/>
      <c:layout/>
      <c:overlay val="0"/>
      <c:spPr>
        <a:noFill/>
        <a:ln>
          <a:noFill/>
        </a:ln>
      </c:spPr>
      <c:txPr>
        <a:bodyPr rot="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legend>
    <c:plotVisOnly val="1"/>
    <c:dispBlanksAs val="gap"/>
    <c:showDLblsOverMax val="0"/>
  </c:chart>
  <c:txPr>
    <a:bodyPr/>
    <a:lstStyle/>
    <a:p>
      <a:pPr>
        <a:defRPr lang="zh-CN" sz="1000" b="0" i="0" u="none" strike="noStrike" baseline="0">
          <a:solidFill>
            <a:srgbClr val="000000"/>
          </a:solidFill>
          <a:latin typeface="Times New Roman" panose="02020603050405020304"/>
          <a:ea typeface="宋体" panose="02010600030101010101" charset="-122"/>
          <a:cs typeface="Arial" panose="020B0604020202020204" pitchFamily="2"/>
        </a:defRPr>
      </a:pPr>
    </a:p>
  </c:txPr>
  <c:externalData r:id="rId1">
    <c:autoUpdate val="0"/>
  </c:externalData>
</c:chartSpac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Lenovo (Beijing) Limited</Company>
  <Pages>19</Pages>
  <Words>7118</Words>
  <Characters>7800</Characters>
  <Lines>356</Lines>
  <Paragraphs>142</Paragraphs>
  <TotalTime>8</TotalTime>
  <ScaleCrop>false</ScaleCrop>
  <LinksUpToDate>false</LinksUpToDate>
  <CharactersWithSpaces>7842</CharactersWithSpaces>
  <Application>WPS Office_11.1.0.10577_F1E327BC-269C-435d-A152-05C5408002CA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2020-09-16T02:45:00Z</dcterms:created>
  <dc:creator>Lenovo User</dc:creator>
  <cp:lastModifiedBy>海宁</cp:lastModifiedBy>
  <cp:lastPrinted>2020-10-12T05:05:00Z</cp:lastPrinted>
  <dcterms:modified xsi:type="dcterms:W3CDTF">2021-05-28T06:00:30Z</dcterms:modified>
  <cp:revision>107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C6C105D5D80C4EE9AEAD8435B405B86D</vt:lpwstr>
  </property>
</Properties>
</file>