
<file path=[Content_Types].xml><?xml version="1.0" encoding="utf-8"?>
<Types xmlns="http://schemas.openxmlformats.org/package/2006/content-types">
  <Default Extension="xml" ContentType="application/xml"/>
  <Default Extension="xlsx" ContentType="application/vnd.openxmlformats-officedocument.spreadsheetml.shee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theme/themeOverride1.xml" ContentType="application/vnd.openxmlformats-officedocument.themeOverrid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640"/>
        <w:jc w:val="center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西安市莲湖区残疾人联合会</w:t>
      </w:r>
    </w:p>
    <w:p>
      <w:pPr>
        <w:spacing w:line="560" w:lineRule="exact"/>
        <w:ind w:firstLine="640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2020年部门综合预算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</w:p>
    <w:p>
      <w:pPr>
        <w:spacing w:line="560" w:lineRule="exact"/>
        <w:ind w:firstLine="643"/>
        <w:jc w:val="center"/>
        <w:rPr>
          <w:rFonts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目  录</w:t>
      </w:r>
    </w:p>
    <w:p>
      <w:pPr>
        <w:spacing w:line="560" w:lineRule="exact"/>
        <w:ind w:firstLine="643"/>
        <w:jc w:val="center"/>
        <w:rPr>
          <w:rFonts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第一部分   部门概况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一、部门主要职责及机构设置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二、2020年年度部门工作任务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三、部门预算单位构成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四、部门人员情况说明</w:t>
      </w:r>
    </w:p>
    <w:p>
      <w:pPr>
        <w:spacing w:line="560" w:lineRule="exact"/>
        <w:ind w:firstLine="643"/>
        <w:jc w:val="center"/>
        <w:rPr>
          <w:rFonts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第二部分   收支情况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五、2020年部门预算收支说明</w:t>
      </w:r>
    </w:p>
    <w:p>
      <w:pPr>
        <w:spacing w:line="560" w:lineRule="exact"/>
        <w:ind w:firstLine="643"/>
        <w:jc w:val="center"/>
        <w:rPr>
          <w:rFonts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第三部分   其他说明情况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六、部门预算“三公”经费等情况说明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七、部门国有资产占有使用及资产购置情况说明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八、部门政府采购情况说明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九、部门预算绩效目标说明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十、机关运行经费安排说明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十一、专业名词解释</w:t>
      </w:r>
    </w:p>
    <w:p>
      <w:pPr>
        <w:spacing w:line="560" w:lineRule="exact"/>
        <w:ind w:firstLine="643"/>
        <w:jc w:val="center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第四部分   公开报表</w:t>
      </w:r>
    </w:p>
    <w:p>
      <w:pPr>
        <w:spacing w:line="560" w:lineRule="exact"/>
        <w:ind w:firstLine="64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（具体部门预算公开报表）</w:t>
      </w:r>
    </w:p>
    <w:p>
      <w:pPr>
        <w:spacing w:line="560" w:lineRule="exact"/>
        <w:ind w:firstLine="640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spacing w:line="560" w:lineRule="exact"/>
        <w:jc w:val="center"/>
        <w:rPr>
          <w:rFonts w:ascii="仿宋_GB2312" w:hAnsi="仿宋" w:eastAsia="仿宋_GB2312" w:cs="仿宋"/>
          <w:b/>
          <w:bCs/>
          <w:sz w:val="32"/>
          <w:szCs w:val="32"/>
        </w:rPr>
      </w:pPr>
    </w:p>
    <w:p>
      <w:pPr>
        <w:numPr>
          <w:ilvl w:val="0"/>
          <w:numId w:val="1"/>
        </w:numPr>
        <w:spacing w:line="560" w:lineRule="exact"/>
        <w:jc w:val="center"/>
        <w:rPr>
          <w:rFonts w:hint="eastAsia"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 xml:space="preserve"> 部门概况</w:t>
      </w:r>
    </w:p>
    <w:p>
      <w:pPr>
        <w:numPr>
          <w:ilvl w:val="0"/>
          <w:numId w:val="0"/>
        </w:numPr>
        <w:spacing w:line="560" w:lineRule="exact"/>
        <w:jc w:val="both"/>
        <w:rPr>
          <w:rFonts w:hint="eastAsia" w:ascii="仿宋_GB2312" w:hAnsi="仿宋" w:eastAsia="仿宋_GB2312" w:cs="仿宋"/>
          <w:b/>
          <w:bCs/>
          <w:sz w:val="32"/>
          <w:szCs w:val="32"/>
        </w:rPr>
      </w:pPr>
    </w:p>
    <w:p>
      <w:pPr>
        <w:spacing w:line="560" w:lineRule="exact"/>
        <w:ind w:firstLine="643"/>
        <w:rPr>
          <w:rFonts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一、部门主要职责及机构设置</w:t>
      </w:r>
    </w:p>
    <w:p>
      <w:pPr>
        <w:ind w:firstLine="643" w:firstLineChars="200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主要职责</w:t>
      </w:r>
    </w:p>
    <w:p>
      <w:pPr>
        <w:ind w:firstLine="640" w:firstLineChars="200"/>
        <w:rPr>
          <w:rFonts w:ascii="方正小标宋_GBK" w:eastAsia="方正小标宋_GBK"/>
          <w:sz w:val="36"/>
          <w:szCs w:val="36"/>
        </w:rPr>
      </w:pPr>
      <w:r>
        <w:rPr>
          <w:rFonts w:hint="eastAsia" w:ascii="仿宋" w:hAnsi="仿宋" w:eastAsia="仿宋"/>
          <w:sz w:val="32"/>
          <w:szCs w:val="32"/>
        </w:rPr>
        <w:t>1、按照“平等、参与、共享”的宗旨，维护残疾人合法权益，全方位为残疾人服务。</w:t>
      </w:r>
    </w:p>
    <w:p>
      <w:pPr>
        <w:ind w:firstLine="640" w:firstLineChars="200"/>
        <w:rPr>
          <w:rFonts w:ascii="方正小标宋_GBK" w:eastAsia="方正小标宋_GBK"/>
          <w:sz w:val="36"/>
          <w:szCs w:val="36"/>
        </w:rPr>
      </w:pPr>
      <w:r>
        <w:rPr>
          <w:rFonts w:hint="eastAsia" w:ascii="仿宋" w:hAnsi="仿宋" w:eastAsia="仿宋"/>
          <w:sz w:val="32"/>
          <w:szCs w:val="32"/>
        </w:rPr>
        <w:t>2、协助区政府研究制定和实施残疾人事业规划和计划。</w:t>
      </w:r>
    </w:p>
    <w:p>
      <w:pPr>
        <w:ind w:firstLine="640" w:firstLineChars="200"/>
        <w:rPr>
          <w:rFonts w:ascii="方正小标宋_GBK" w:eastAsia="方正小标宋_GBK"/>
          <w:sz w:val="36"/>
          <w:szCs w:val="36"/>
        </w:rPr>
      </w:pPr>
      <w:r>
        <w:rPr>
          <w:rFonts w:hint="eastAsia" w:ascii="仿宋" w:hAnsi="仿宋" w:eastAsia="仿宋"/>
          <w:sz w:val="32"/>
          <w:szCs w:val="32"/>
        </w:rPr>
        <w:t>3、团结教育残疾人遵纪守法，履行应尽的义务。</w:t>
      </w:r>
    </w:p>
    <w:p>
      <w:pPr>
        <w:ind w:firstLine="640" w:firstLineChars="200"/>
        <w:rPr>
          <w:rFonts w:ascii="方正小标宋_GBK" w:eastAsia="方正小标宋_GBK"/>
          <w:sz w:val="36"/>
          <w:szCs w:val="36"/>
        </w:rPr>
      </w:pPr>
      <w:r>
        <w:rPr>
          <w:rFonts w:hint="eastAsia" w:ascii="仿宋" w:hAnsi="仿宋" w:eastAsia="仿宋"/>
          <w:sz w:val="32"/>
          <w:szCs w:val="32"/>
        </w:rPr>
        <w:t>4、弘扬人道主义，宣传残疾人事业，沟通残疾人与政府、社会的联系，动员社会理解、尊重、关心、帮助残疾人。</w:t>
      </w:r>
    </w:p>
    <w:p>
      <w:pPr>
        <w:ind w:firstLine="640" w:firstLineChars="200"/>
        <w:rPr>
          <w:rFonts w:ascii="方正小标宋_GBK" w:eastAsia="方正小标宋_GBK"/>
          <w:sz w:val="36"/>
          <w:szCs w:val="36"/>
        </w:rPr>
      </w:pPr>
      <w:r>
        <w:rPr>
          <w:rFonts w:hint="eastAsia" w:ascii="仿宋" w:hAnsi="仿宋" w:eastAsia="仿宋"/>
          <w:sz w:val="32"/>
          <w:szCs w:val="32"/>
        </w:rPr>
        <w:t>5、开展残疾人康复、教育、福利、劳动就业、文化体育用品供应、无障碍设施检查验收和残疾预防工作。</w:t>
      </w:r>
    </w:p>
    <w:p>
      <w:pPr>
        <w:ind w:firstLine="640" w:firstLineChars="200"/>
        <w:rPr>
          <w:rFonts w:ascii="方正小标宋_GBK" w:eastAsia="方正小标宋_GBK"/>
          <w:sz w:val="36"/>
          <w:szCs w:val="36"/>
        </w:rPr>
      </w:pPr>
      <w:r>
        <w:rPr>
          <w:rFonts w:hint="eastAsia" w:ascii="仿宋" w:hAnsi="仿宋" w:eastAsia="仿宋"/>
          <w:sz w:val="32"/>
          <w:szCs w:val="32"/>
        </w:rPr>
        <w:t>6、负责残疾人扶贫解困、社区康复、盲人职称评定、劳动技能培训等工作。</w:t>
      </w:r>
    </w:p>
    <w:p>
      <w:pPr>
        <w:ind w:firstLine="640" w:firstLineChars="200"/>
        <w:rPr>
          <w:rFonts w:ascii="方正小标宋_GBK" w:eastAsia="方正小标宋_GBK"/>
          <w:sz w:val="36"/>
          <w:szCs w:val="36"/>
        </w:rPr>
      </w:pPr>
      <w:r>
        <w:rPr>
          <w:rFonts w:hint="eastAsia" w:ascii="仿宋" w:hAnsi="仿宋" w:eastAsia="仿宋"/>
          <w:sz w:val="32"/>
          <w:szCs w:val="32"/>
        </w:rPr>
        <w:t>7、负责本区残疾人企业的认定、申报和管理工作。</w:t>
      </w:r>
    </w:p>
    <w:p>
      <w:pPr>
        <w:ind w:firstLine="640" w:firstLineChars="200"/>
        <w:rPr>
          <w:rFonts w:ascii="方正小标宋_GBK" w:eastAsia="方正小标宋_GBK"/>
          <w:sz w:val="36"/>
          <w:szCs w:val="36"/>
        </w:rPr>
      </w:pPr>
      <w:r>
        <w:rPr>
          <w:rFonts w:hint="eastAsia" w:ascii="仿宋" w:hAnsi="仿宋" w:eastAsia="仿宋"/>
          <w:sz w:val="32"/>
          <w:szCs w:val="32"/>
        </w:rPr>
        <w:t>8、负责本区残疾人专用机动车营运资格审核和培训工作。</w:t>
      </w:r>
    </w:p>
    <w:p>
      <w:pPr>
        <w:ind w:firstLine="640" w:firstLineChars="200"/>
        <w:rPr>
          <w:rFonts w:ascii="方正小标宋_GBK" w:eastAsia="方正小标宋_GBK"/>
          <w:sz w:val="36"/>
          <w:szCs w:val="36"/>
        </w:rPr>
      </w:pPr>
      <w:r>
        <w:rPr>
          <w:rFonts w:hint="eastAsia" w:ascii="仿宋" w:hAnsi="仿宋" w:eastAsia="仿宋"/>
          <w:sz w:val="32"/>
          <w:szCs w:val="32"/>
        </w:rPr>
        <w:t>9、指导和管理本区残疾人社团组织。</w:t>
      </w:r>
    </w:p>
    <w:p>
      <w:pPr>
        <w:ind w:firstLine="640" w:firstLineChars="200"/>
        <w:rPr>
          <w:rFonts w:ascii="方正小标宋_GBK" w:eastAsia="方正小标宋_GBK"/>
          <w:sz w:val="36"/>
          <w:szCs w:val="36"/>
        </w:rPr>
      </w:pPr>
      <w:r>
        <w:rPr>
          <w:rFonts w:hint="eastAsia" w:ascii="仿宋" w:hAnsi="仿宋" w:eastAsia="仿宋"/>
          <w:sz w:val="32"/>
          <w:szCs w:val="32"/>
        </w:rPr>
        <w:t>10、宣传动员社会各界人士与社团组织，开展残疾人事业的交流与合作，为发展我区残疾人事业积累资金。</w:t>
      </w:r>
    </w:p>
    <w:p>
      <w:pPr>
        <w:ind w:firstLine="640" w:firstLineChars="200"/>
        <w:rPr>
          <w:rFonts w:ascii="方正小标宋_GBK" w:eastAsia="方正小标宋_GBK"/>
          <w:sz w:val="36"/>
          <w:szCs w:val="36"/>
        </w:rPr>
      </w:pPr>
      <w:r>
        <w:rPr>
          <w:rFonts w:hint="eastAsia" w:ascii="仿宋" w:hAnsi="仿宋" w:eastAsia="仿宋"/>
          <w:sz w:val="32"/>
          <w:szCs w:val="32"/>
        </w:rPr>
        <w:t>11、接待并协调解决残疾人来信来访工作。</w:t>
      </w:r>
    </w:p>
    <w:p>
      <w:pPr>
        <w:ind w:firstLine="640" w:firstLineChars="200"/>
        <w:rPr>
          <w:rFonts w:ascii="方正小标宋_GBK" w:eastAsia="方正小标宋_GBK"/>
          <w:sz w:val="36"/>
          <w:szCs w:val="36"/>
        </w:rPr>
      </w:pPr>
      <w:r>
        <w:rPr>
          <w:rFonts w:hint="eastAsia" w:ascii="仿宋" w:hAnsi="仿宋" w:eastAsia="仿宋"/>
          <w:sz w:val="32"/>
          <w:szCs w:val="32"/>
        </w:rPr>
        <w:t>12、承担区政府残疾人工作协调委员会日常工作。</w:t>
      </w:r>
    </w:p>
    <w:p>
      <w:pPr>
        <w:ind w:firstLine="640" w:firstLineChars="200"/>
        <w:rPr>
          <w:rFonts w:ascii="方正小标宋_GBK" w:eastAsia="方正小标宋_GBK"/>
          <w:sz w:val="36"/>
          <w:szCs w:val="36"/>
        </w:rPr>
      </w:pPr>
      <w:r>
        <w:rPr>
          <w:rFonts w:hint="eastAsia" w:ascii="仿宋" w:hAnsi="仿宋" w:eastAsia="仿宋"/>
          <w:sz w:val="32"/>
          <w:szCs w:val="32"/>
        </w:rPr>
        <w:t>13、加强机关自身建设，教育工作人员忠于职守、勤政廉政、提高工作效率。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14、承办区委、区政府交办的其他工作。</w:t>
      </w:r>
    </w:p>
    <w:p>
      <w:pPr>
        <w:spacing w:line="560" w:lineRule="exact"/>
        <w:ind w:firstLine="643" w:firstLineChars="200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（二）机构设置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本单位下属机构1个，合署办公。单位设置科室两个，办公室和业务部。</w:t>
      </w:r>
    </w:p>
    <w:p>
      <w:pPr>
        <w:spacing w:line="560" w:lineRule="exact"/>
        <w:ind w:firstLine="643"/>
        <w:rPr>
          <w:rFonts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二、2020年度部门工作任务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1、加强组织体系、保障体系和服务体系建设，进一步发挥助残志愿者队伍作用，进一步活跃各专门协会工作;进一步规范指导各服务机构开展工作。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2、加强信息化建设，全面配合市残联做好残疾人综合服务信息系统九个平台的管理、录入和审核工作达100%。</w:t>
      </w: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3、加强维权工作，做好普法宣传工作，做好残疾人信访、法律援助工作；做好残疾证核发工作；进一步推进辅具适配和无障碍建设；选聘残疾人专职委员人数159名。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4、协助教育部门，使有入学能力的残疾少年儿童接受义务教育;资助残疾少年儿童和义务教育阶段残疾学生以及大、中专残疾学生继续教育;全年完成自行助学资助不少于60名，针对实际需求拓宽补助范围。</w:t>
      </w: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、做好精准康复服务工作，做好全国残疾预防综合试验区工作，推进0-16岁残疾儿童康复服务项目服务率达到100%；加大精神残疾人康复救助率不低于85%、残疾人辅助器具适配率达85%以上，个性化辅助器具适配不少于50名，完善心理康复服务体系建设；2020年为285名残疾人申请机动轮椅车补贴项目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6、协助民政部门做好残疾人两项补贴的残疾人证审核工作，做好双节期间贫困残疾人慰问活动工作。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、做好用人单位残疾职工认定工作，促进残疾人按比例就业不少于40人；残疾人个体就业和自主创业不少于15人；灵活就业和居家就业不少于45人；残疾人职业技能和使用技术培训人数不少于90名；残疾人专职委员培训率达到100%；加强残疾人创业孵化服务中心合作运行和监管；做好残疾人辅助性就业，提升残疾创业就业能力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8、全年完成220名重度残疾人居家安养和集中托养服务；实行残疾人服务机构日常服务督导、管理建设，提升残疾人服务机构规范化水平。</w:t>
      </w:r>
    </w:p>
    <w:p>
      <w:pPr>
        <w:spacing w:line="560" w:lineRule="exact"/>
        <w:ind w:firstLine="643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、以“全国助残日”“全国残疾预防日”等节日为契机，加大惠残助残政策宣传力度，呼吁倡导全社会共同关心帮助残疾人；开展丰富多彩的残疾人文体活动，营造残建融合共享发展成果，形成良好的社会氛围。</w:t>
      </w:r>
    </w:p>
    <w:p>
      <w:pPr>
        <w:spacing w:line="560" w:lineRule="exact"/>
        <w:ind w:firstLine="643"/>
        <w:rPr>
          <w:rFonts w:hint="eastAsia"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三、部门预算单位构成</w:t>
      </w:r>
    </w:p>
    <w:p>
      <w:pPr>
        <w:spacing w:line="560" w:lineRule="exact"/>
        <w:ind w:firstLine="643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</w:rPr>
        <w:t>纳入本部门2020年部门预算编制范围的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一</w:t>
      </w:r>
      <w:r>
        <w:rPr>
          <w:rFonts w:hint="eastAsia" w:ascii="仿宋_GB2312" w:hAnsi="仿宋" w:eastAsia="仿宋_GB2312" w:cs="仿宋"/>
          <w:sz w:val="32"/>
          <w:szCs w:val="32"/>
        </w:rPr>
        <w:t>级预算单位共有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 w:cs="仿宋"/>
          <w:sz w:val="32"/>
          <w:szCs w:val="32"/>
        </w:rPr>
        <w:t>个，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莲湖区残疾人联合会（本级），本部门无下属单位。</w:t>
      </w:r>
    </w:p>
    <w:p>
      <w:pPr>
        <w:spacing w:line="560" w:lineRule="exact"/>
        <w:ind w:firstLine="643"/>
        <w:rPr>
          <w:rFonts w:hint="eastAsia" w:ascii="仿宋" w:hAnsi="仿宋" w:eastAsia="仿宋"/>
          <w:sz w:val="32"/>
          <w:szCs w:val="32"/>
          <w:lang w:val="en-US" w:eastAsia="zh-CN"/>
        </w:rPr>
      </w:pPr>
    </w:p>
    <w:tbl>
      <w:tblPr>
        <w:tblStyle w:val="5"/>
        <w:tblW w:w="88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104"/>
        <w:gridCol w:w="5760"/>
        <w:gridCol w:w="19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104" w:type="dxa"/>
          </w:tcPr>
          <w:p>
            <w:pPr>
              <w:spacing w:line="560" w:lineRule="exact"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序号</w:t>
            </w:r>
          </w:p>
        </w:tc>
        <w:tc>
          <w:tcPr>
            <w:tcW w:w="5760" w:type="dxa"/>
          </w:tcPr>
          <w:p>
            <w:pPr>
              <w:spacing w:line="560" w:lineRule="exact"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单位名称</w:t>
            </w:r>
          </w:p>
        </w:tc>
        <w:tc>
          <w:tcPr>
            <w:tcW w:w="1981" w:type="dxa"/>
          </w:tcPr>
          <w:p>
            <w:pPr>
              <w:spacing w:line="560" w:lineRule="exact"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拟变动情况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104" w:type="dxa"/>
          </w:tcPr>
          <w:p>
            <w:pPr>
              <w:spacing w:line="560" w:lineRule="exact"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1</w:t>
            </w:r>
          </w:p>
        </w:tc>
        <w:tc>
          <w:tcPr>
            <w:tcW w:w="5760" w:type="dxa"/>
          </w:tcPr>
          <w:p>
            <w:pPr>
              <w:spacing w:line="560" w:lineRule="exact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  <w:lang w:val="en-US" w:eastAsia="zh-CN"/>
              </w:rPr>
              <w:t>西安市莲湖区残疾人联合会</w:t>
            </w: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本级（机关）</w:t>
            </w:r>
          </w:p>
        </w:tc>
        <w:tc>
          <w:tcPr>
            <w:tcW w:w="1981" w:type="dxa"/>
          </w:tcPr>
          <w:p>
            <w:pPr>
              <w:spacing w:line="560" w:lineRule="exact"/>
              <w:rPr>
                <w:rFonts w:hint="eastAsia" w:ascii="仿宋_GB2312" w:hAnsi="仿宋" w:eastAsia="仿宋_GB2312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  <w:lang w:val="en-US" w:eastAsia="zh-CN"/>
              </w:rPr>
              <w:t>无变动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104" w:type="dxa"/>
          </w:tcPr>
          <w:p>
            <w:pPr>
              <w:spacing w:line="560" w:lineRule="exact"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  <w:tc>
          <w:tcPr>
            <w:tcW w:w="5760" w:type="dxa"/>
          </w:tcPr>
          <w:p>
            <w:pPr>
              <w:spacing w:line="560" w:lineRule="exact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  <w:tc>
          <w:tcPr>
            <w:tcW w:w="1981" w:type="dxa"/>
          </w:tcPr>
          <w:p>
            <w:pPr>
              <w:spacing w:line="560" w:lineRule="exact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104" w:type="dxa"/>
          </w:tcPr>
          <w:p>
            <w:pPr>
              <w:spacing w:line="560" w:lineRule="exact"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  <w:tc>
          <w:tcPr>
            <w:tcW w:w="5760" w:type="dxa"/>
          </w:tcPr>
          <w:p>
            <w:pPr>
              <w:spacing w:line="560" w:lineRule="exact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  <w:tc>
          <w:tcPr>
            <w:tcW w:w="1981" w:type="dxa"/>
          </w:tcPr>
          <w:p>
            <w:pPr>
              <w:spacing w:line="560" w:lineRule="exact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</w:tr>
    </w:tbl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</w:p>
    <w:p>
      <w:pPr>
        <w:spacing w:line="560" w:lineRule="exact"/>
        <w:ind w:firstLine="643"/>
        <w:rPr>
          <w:rFonts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四、部门人员情况说明</w:t>
      </w:r>
    </w:p>
    <w:p>
      <w:pPr>
        <w:spacing w:line="560" w:lineRule="exact"/>
        <w:ind w:firstLine="64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截止20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20</w:t>
      </w:r>
      <w:r>
        <w:rPr>
          <w:rFonts w:hint="eastAsia" w:ascii="仿宋_GB2312" w:hAnsi="仿宋" w:eastAsia="仿宋_GB2312" w:cs="仿宋"/>
          <w:sz w:val="32"/>
          <w:szCs w:val="32"/>
        </w:rPr>
        <w:t>年底，本部门人员编制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14</w:t>
      </w:r>
      <w:r>
        <w:rPr>
          <w:rFonts w:hint="eastAsia" w:ascii="仿宋_GB2312" w:hAnsi="仿宋" w:eastAsia="仿宋_GB2312" w:cs="仿宋"/>
          <w:sz w:val="32"/>
          <w:szCs w:val="32"/>
        </w:rPr>
        <w:t>人，其中行政编制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5</w:t>
      </w:r>
      <w:r>
        <w:rPr>
          <w:rFonts w:hint="eastAsia" w:ascii="仿宋_GB2312" w:hAnsi="仿宋" w:eastAsia="仿宋_GB2312" w:cs="仿宋"/>
          <w:sz w:val="32"/>
          <w:szCs w:val="32"/>
        </w:rPr>
        <w:t>人、事业编制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9</w:t>
      </w:r>
      <w:r>
        <w:rPr>
          <w:rFonts w:hint="eastAsia" w:ascii="仿宋_GB2312" w:hAnsi="仿宋" w:eastAsia="仿宋_GB2312" w:cs="仿宋"/>
          <w:sz w:val="32"/>
          <w:szCs w:val="32"/>
        </w:rPr>
        <w:t>人；实有人员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14</w:t>
      </w:r>
      <w:r>
        <w:rPr>
          <w:rFonts w:hint="eastAsia" w:ascii="仿宋_GB2312" w:hAnsi="仿宋" w:eastAsia="仿宋_GB2312" w:cs="仿宋"/>
          <w:sz w:val="32"/>
          <w:szCs w:val="32"/>
        </w:rPr>
        <w:t>人，其中行政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5</w:t>
      </w:r>
      <w:r>
        <w:rPr>
          <w:rFonts w:hint="eastAsia" w:ascii="仿宋_GB2312" w:hAnsi="仿宋" w:eastAsia="仿宋_GB2312" w:cs="仿宋"/>
          <w:sz w:val="32"/>
          <w:szCs w:val="32"/>
        </w:rPr>
        <w:t>人、事业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9</w:t>
      </w:r>
      <w:r>
        <w:rPr>
          <w:rFonts w:hint="eastAsia" w:ascii="仿宋_GB2312" w:hAnsi="仿宋" w:eastAsia="仿宋_GB2312" w:cs="仿宋"/>
          <w:sz w:val="32"/>
          <w:szCs w:val="32"/>
        </w:rPr>
        <w:t>人。单位管理的离退休人员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 w:cs="仿宋"/>
          <w:sz w:val="32"/>
          <w:szCs w:val="32"/>
        </w:rPr>
        <w:t>人。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4442460" cy="2867025"/>
            <wp:effectExtent l="4445" t="4445" r="10795" b="81280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>
      <w:pPr>
        <w:spacing w:line="560" w:lineRule="exact"/>
        <w:ind w:firstLine="640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spacing w:line="560" w:lineRule="exact"/>
        <w:jc w:val="center"/>
        <w:rPr>
          <w:rFonts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第二部分  收支情况</w:t>
      </w:r>
    </w:p>
    <w:p>
      <w:pPr>
        <w:spacing w:line="560" w:lineRule="exact"/>
        <w:ind w:firstLine="643"/>
        <w:rPr>
          <w:rFonts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五、2020年部门预算收支说明</w:t>
      </w:r>
    </w:p>
    <w:p>
      <w:pPr>
        <w:spacing w:line="560" w:lineRule="exact"/>
        <w:ind w:firstLine="643"/>
        <w:rPr>
          <w:rFonts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（一）收支预算总体情况。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按照综合预算的原则，本部门所有收入和支出均纳入部门预算管理。2020年本部门预算收入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157.7</w:t>
      </w:r>
      <w:r>
        <w:rPr>
          <w:rFonts w:hint="eastAsia" w:ascii="仿宋_GB2312" w:hAnsi="仿宋" w:eastAsia="仿宋_GB2312" w:cs="仿宋"/>
          <w:sz w:val="32"/>
          <w:szCs w:val="32"/>
        </w:rPr>
        <w:t>万元，其中一般公共预算拨款收入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157.7</w:t>
      </w:r>
      <w:r>
        <w:rPr>
          <w:rFonts w:hint="eastAsia" w:ascii="仿宋_GB2312" w:hAnsi="仿宋" w:eastAsia="仿宋_GB2312" w:cs="仿宋"/>
          <w:sz w:val="32"/>
          <w:szCs w:val="32"/>
        </w:rPr>
        <w:t>万元、政府性基金拨款收入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0</w:t>
      </w:r>
      <w:r>
        <w:rPr>
          <w:rFonts w:hint="eastAsia" w:ascii="仿宋_GB2312" w:hAnsi="仿宋" w:eastAsia="仿宋_GB2312" w:cs="仿宋"/>
          <w:sz w:val="32"/>
          <w:szCs w:val="32"/>
        </w:rPr>
        <w:t>万元，2020年本部门预算收入较上年增加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12.08</w:t>
      </w:r>
      <w:r>
        <w:rPr>
          <w:rFonts w:hint="eastAsia" w:ascii="仿宋_GB2312" w:hAnsi="仿宋" w:eastAsia="仿宋_GB2312" w:cs="仿宋"/>
          <w:sz w:val="32"/>
          <w:szCs w:val="32"/>
        </w:rPr>
        <w:t>万元，主要原因是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增加在职人员</w:t>
      </w:r>
      <w:r>
        <w:rPr>
          <w:rFonts w:hint="eastAsia" w:ascii="仿宋_GB2312" w:hAnsi="仿宋" w:eastAsia="仿宋_GB2312" w:cs="仿宋"/>
          <w:sz w:val="32"/>
          <w:szCs w:val="32"/>
        </w:rPr>
        <w:t>；2020年本部门预算支出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157.7</w:t>
      </w:r>
      <w:r>
        <w:rPr>
          <w:rFonts w:hint="eastAsia" w:ascii="仿宋_GB2312" w:hAnsi="仿宋" w:eastAsia="仿宋_GB2312" w:cs="仿宋"/>
          <w:sz w:val="32"/>
          <w:szCs w:val="32"/>
        </w:rPr>
        <w:t>万元，其中一般公共预算拨款支出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157.7</w:t>
      </w:r>
      <w:r>
        <w:rPr>
          <w:rFonts w:hint="eastAsia" w:ascii="仿宋_GB2312" w:hAnsi="仿宋" w:eastAsia="仿宋_GB2312" w:cs="仿宋"/>
          <w:sz w:val="32"/>
          <w:szCs w:val="32"/>
        </w:rPr>
        <w:t>万元、政府性基金拨款支出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0</w:t>
      </w:r>
      <w:r>
        <w:rPr>
          <w:rFonts w:hint="eastAsia" w:ascii="仿宋_GB2312" w:hAnsi="仿宋" w:eastAsia="仿宋_GB2312" w:cs="仿宋"/>
          <w:sz w:val="32"/>
          <w:szCs w:val="32"/>
        </w:rPr>
        <w:t>万元，2020年本部门预算支出较上年增加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12.08</w:t>
      </w:r>
      <w:r>
        <w:rPr>
          <w:rFonts w:hint="eastAsia" w:ascii="仿宋_GB2312" w:hAnsi="仿宋" w:eastAsia="仿宋_GB2312" w:cs="仿宋"/>
          <w:sz w:val="32"/>
          <w:szCs w:val="32"/>
        </w:rPr>
        <w:t>万元，主要原因是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增加在职人员</w:t>
      </w:r>
      <w:r>
        <w:rPr>
          <w:rFonts w:hint="eastAsia" w:ascii="仿宋_GB2312" w:hAnsi="仿宋" w:eastAsia="仿宋_GB2312" w:cs="仿宋"/>
          <w:sz w:val="32"/>
          <w:szCs w:val="32"/>
        </w:rPr>
        <w:t>。</w:t>
      </w:r>
    </w:p>
    <w:p>
      <w:pPr>
        <w:spacing w:line="560" w:lineRule="exact"/>
        <w:ind w:firstLine="643"/>
        <w:rPr>
          <w:rFonts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（二）财政拨款收支情况。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2020年本部门财政拨款收入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157.7</w:t>
      </w:r>
      <w:r>
        <w:rPr>
          <w:rFonts w:hint="eastAsia" w:ascii="仿宋_GB2312" w:hAnsi="仿宋" w:eastAsia="仿宋_GB2312" w:cs="仿宋"/>
          <w:sz w:val="32"/>
          <w:szCs w:val="32"/>
        </w:rPr>
        <w:t>万元，其中一般公共预算拨款收入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157.7</w:t>
      </w:r>
      <w:r>
        <w:rPr>
          <w:rFonts w:hint="eastAsia" w:ascii="仿宋_GB2312" w:hAnsi="仿宋" w:eastAsia="仿宋_GB2312" w:cs="仿宋"/>
          <w:sz w:val="32"/>
          <w:szCs w:val="32"/>
        </w:rPr>
        <w:t>万元、政府性基金拨款收入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0</w:t>
      </w:r>
      <w:r>
        <w:rPr>
          <w:rFonts w:hint="eastAsia" w:ascii="仿宋_GB2312" w:hAnsi="仿宋" w:eastAsia="仿宋_GB2312" w:cs="仿宋"/>
          <w:sz w:val="32"/>
          <w:szCs w:val="32"/>
        </w:rPr>
        <w:t>万元，2020年本部门财政拨款收入较上年增加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12.08</w:t>
      </w:r>
      <w:r>
        <w:rPr>
          <w:rFonts w:hint="eastAsia" w:ascii="仿宋_GB2312" w:hAnsi="仿宋" w:eastAsia="仿宋_GB2312" w:cs="仿宋"/>
          <w:sz w:val="32"/>
          <w:szCs w:val="32"/>
        </w:rPr>
        <w:t>万元，主要原因是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增加在职人员</w:t>
      </w:r>
      <w:r>
        <w:rPr>
          <w:rFonts w:hint="eastAsia" w:ascii="仿宋_GB2312" w:hAnsi="仿宋" w:eastAsia="仿宋_GB2312" w:cs="仿宋"/>
          <w:sz w:val="32"/>
          <w:szCs w:val="32"/>
        </w:rPr>
        <w:t>；2020年本部门财政拨款支出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157.7</w:t>
      </w:r>
      <w:r>
        <w:rPr>
          <w:rFonts w:hint="eastAsia" w:ascii="仿宋_GB2312" w:hAnsi="仿宋" w:eastAsia="仿宋_GB2312" w:cs="仿宋"/>
          <w:sz w:val="32"/>
          <w:szCs w:val="32"/>
        </w:rPr>
        <w:t>万元，其中一般公共预算拨款支出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157.7</w:t>
      </w:r>
      <w:r>
        <w:rPr>
          <w:rFonts w:hint="eastAsia" w:ascii="仿宋_GB2312" w:hAnsi="仿宋" w:eastAsia="仿宋_GB2312" w:cs="仿宋"/>
          <w:sz w:val="32"/>
          <w:szCs w:val="32"/>
        </w:rPr>
        <w:t>万元、政府性基金拨款支出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0</w:t>
      </w:r>
      <w:r>
        <w:rPr>
          <w:rFonts w:hint="eastAsia" w:ascii="仿宋_GB2312" w:hAnsi="仿宋" w:eastAsia="仿宋_GB2312" w:cs="仿宋"/>
          <w:sz w:val="32"/>
          <w:szCs w:val="32"/>
        </w:rPr>
        <w:t>万元，2020年本部门财政拨款支出较上年增加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12.08</w:t>
      </w:r>
      <w:r>
        <w:rPr>
          <w:rFonts w:hint="eastAsia" w:ascii="仿宋_GB2312" w:hAnsi="仿宋" w:eastAsia="仿宋_GB2312" w:cs="仿宋"/>
          <w:sz w:val="32"/>
          <w:szCs w:val="32"/>
        </w:rPr>
        <w:t>万元，主要原因是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增加在职人员</w:t>
      </w:r>
      <w:r>
        <w:rPr>
          <w:rFonts w:hint="eastAsia" w:ascii="仿宋_GB2312" w:hAnsi="仿宋" w:eastAsia="仿宋_GB2312" w:cs="仿宋"/>
          <w:sz w:val="32"/>
          <w:szCs w:val="32"/>
        </w:rPr>
        <w:t>。</w:t>
      </w:r>
    </w:p>
    <w:p>
      <w:pPr>
        <w:spacing w:line="560" w:lineRule="exact"/>
        <w:ind w:firstLine="643"/>
        <w:rPr>
          <w:rFonts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（三）一般公共预算拨款支出明细情况。</w:t>
      </w:r>
    </w:p>
    <w:p>
      <w:pPr>
        <w:spacing w:line="560" w:lineRule="exact"/>
        <w:ind w:firstLine="643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1.</w:t>
      </w:r>
      <w:r>
        <w:rPr>
          <w:rFonts w:hint="eastAsia" w:ascii="仿宋_GB2312" w:hAnsi="仿宋" w:eastAsia="仿宋_GB2312" w:cs="仿宋"/>
          <w:sz w:val="32"/>
          <w:szCs w:val="32"/>
        </w:rPr>
        <w:t>一般公共预算当年拨款规模变化情况。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2020年本部门当年一般公共预算拨款支出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157.7</w:t>
      </w:r>
      <w:r>
        <w:rPr>
          <w:rFonts w:hint="eastAsia" w:ascii="仿宋_GB2312" w:hAnsi="仿宋" w:eastAsia="仿宋_GB2312" w:cs="仿宋"/>
          <w:sz w:val="32"/>
          <w:szCs w:val="32"/>
        </w:rPr>
        <w:t>万元，较上年增加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12.08</w:t>
      </w:r>
      <w:r>
        <w:rPr>
          <w:rFonts w:hint="eastAsia" w:ascii="仿宋_GB2312" w:hAnsi="仿宋" w:eastAsia="仿宋_GB2312" w:cs="仿宋"/>
          <w:sz w:val="32"/>
          <w:szCs w:val="32"/>
        </w:rPr>
        <w:t>万元，主要原因是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增加在职人员</w:t>
      </w:r>
      <w:r>
        <w:rPr>
          <w:rFonts w:hint="eastAsia" w:ascii="仿宋_GB2312" w:hAnsi="仿宋" w:eastAsia="仿宋_GB2312" w:cs="仿宋"/>
          <w:sz w:val="32"/>
          <w:szCs w:val="32"/>
        </w:rPr>
        <w:t>。</w:t>
      </w:r>
    </w:p>
    <w:p>
      <w:pPr>
        <w:spacing w:line="560" w:lineRule="exact"/>
        <w:ind w:firstLine="643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2.</w:t>
      </w:r>
      <w:r>
        <w:rPr>
          <w:rFonts w:hint="eastAsia" w:ascii="仿宋_GB2312" w:hAnsi="仿宋" w:eastAsia="仿宋_GB2312" w:cs="仿宋"/>
          <w:sz w:val="32"/>
          <w:szCs w:val="32"/>
        </w:rPr>
        <w:t>支出按功能科目分类的明细情况。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本部门2020年当年一般公共预算支出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157.07</w:t>
      </w:r>
      <w:r>
        <w:rPr>
          <w:rFonts w:hint="eastAsia" w:ascii="仿宋_GB2312" w:hAnsi="仿宋" w:eastAsia="仿宋_GB2312" w:cs="仿宋"/>
          <w:sz w:val="32"/>
          <w:szCs w:val="32"/>
        </w:rPr>
        <w:t>万元，其中：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（1）行政运行（2010601）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154.5</w:t>
      </w:r>
      <w:r>
        <w:rPr>
          <w:rFonts w:hint="eastAsia" w:ascii="仿宋_GB2312" w:hAnsi="仿宋" w:eastAsia="仿宋_GB2312" w:cs="仿宋"/>
          <w:sz w:val="32"/>
          <w:szCs w:val="32"/>
        </w:rPr>
        <w:t>万元，较上年增加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12.08</w:t>
      </w:r>
      <w:r>
        <w:rPr>
          <w:rFonts w:hint="eastAsia" w:ascii="仿宋_GB2312" w:hAnsi="仿宋" w:eastAsia="仿宋_GB2312" w:cs="仿宋"/>
          <w:sz w:val="32"/>
          <w:szCs w:val="32"/>
        </w:rPr>
        <w:t>万元，原因是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在职人员增加</w:t>
      </w:r>
      <w:r>
        <w:rPr>
          <w:rFonts w:hint="eastAsia" w:ascii="仿宋_GB2312" w:hAnsi="仿宋" w:eastAsia="仿宋_GB2312" w:cs="仿宋"/>
          <w:sz w:val="32"/>
          <w:szCs w:val="32"/>
        </w:rPr>
        <w:t>；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（2）事业运行（2010650）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 w:cs="仿宋"/>
          <w:sz w:val="32"/>
          <w:szCs w:val="32"/>
        </w:rPr>
        <w:t>万元，较上年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减少27</w:t>
      </w:r>
      <w:r>
        <w:rPr>
          <w:rFonts w:hint="eastAsia" w:ascii="仿宋_GB2312" w:hAnsi="仿宋" w:eastAsia="仿宋_GB2312" w:cs="仿宋"/>
          <w:sz w:val="32"/>
          <w:szCs w:val="32"/>
        </w:rPr>
        <w:t>万元，原因是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财政节约支出</w:t>
      </w:r>
      <w:r>
        <w:rPr>
          <w:rFonts w:hint="eastAsia" w:ascii="仿宋_GB2312" w:hAnsi="仿宋" w:eastAsia="仿宋_GB2312" w:cs="仿宋"/>
          <w:sz w:val="32"/>
          <w:szCs w:val="32"/>
        </w:rPr>
        <w:t>；</w:t>
      </w:r>
    </w:p>
    <w:p>
      <w:pPr>
        <w:spacing w:line="560" w:lineRule="exact"/>
        <w:ind w:firstLine="643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3.</w:t>
      </w:r>
      <w:r>
        <w:rPr>
          <w:rFonts w:hint="eastAsia" w:ascii="仿宋_GB2312" w:hAnsi="仿宋" w:eastAsia="仿宋_GB2312" w:cs="仿宋"/>
          <w:sz w:val="32"/>
          <w:szCs w:val="32"/>
        </w:rPr>
        <w:t>支出按经济科目分类的明细情况。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（1）2020年本部门当年一般公共预算支出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157.07</w:t>
      </w:r>
      <w:r>
        <w:rPr>
          <w:rFonts w:hint="eastAsia" w:ascii="仿宋_GB2312" w:hAnsi="仿宋" w:eastAsia="仿宋_GB2312" w:cs="仿宋"/>
          <w:sz w:val="32"/>
          <w:szCs w:val="32"/>
        </w:rPr>
        <w:t>万元，其中：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工资福利支出（301）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139.22</w:t>
      </w:r>
      <w:r>
        <w:rPr>
          <w:rFonts w:hint="eastAsia" w:ascii="仿宋_GB2312" w:hAnsi="仿宋" w:eastAsia="仿宋_GB2312" w:cs="仿宋"/>
          <w:sz w:val="32"/>
          <w:szCs w:val="32"/>
        </w:rPr>
        <w:t>万元，较上年增加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35.93</w:t>
      </w:r>
      <w:r>
        <w:rPr>
          <w:rFonts w:hint="eastAsia" w:ascii="仿宋_GB2312" w:hAnsi="仿宋" w:eastAsia="仿宋_GB2312" w:cs="仿宋"/>
          <w:sz w:val="32"/>
          <w:szCs w:val="32"/>
        </w:rPr>
        <w:t>万元，原因是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人员增加</w:t>
      </w:r>
      <w:r>
        <w:rPr>
          <w:rFonts w:hint="eastAsia" w:ascii="仿宋_GB2312" w:hAnsi="仿宋" w:eastAsia="仿宋_GB2312" w:cs="仿宋"/>
          <w:sz w:val="32"/>
          <w:szCs w:val="32"/>
        </w:rPr>
        <w:t>；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商品和服务支出（302）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18.48</w:t>
      </w:r>
      <w:r>
        <w:rPr>
          <w:rFonts w:hint="eastAsia" w:ascii="仿宋_GB2312" w:hAnsi="仿宋" w:eastAsia="仿宋_GB2312" w:cs="仿宋"/>
          <w:sz w:val="32"/>
          <w:szCs w:val="32"/>
        </w:rPr>
        <w:t>万元，较上年减少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23.86</w:t>
      </w:r>
      <w:r>
        <w:rPr>
          <w:rFonts w:hint="eastAsia" w:ascii="仿宋_GB2312" w:hAnsi="仿宋" w:eastAsia="仿宋_GB2312" w:cs="仿宋"/>
          <w:sz w:val="32"/>
          <w:szCs w:val="32"/>
        </w:rPr>
        <w:t>万元，原因是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财政压缩、节约预算支出</w:t>
      </w:r>
      <w:r>
        <w:rPr>
          <w:rFonts w:hint="eastAsia" w:ascii="仿宋_GB2312" w:hAnsi="仿宋" w:eastAsia="仿宋_GB2312" w:cs="仿宋"/>
          <w:sz w:val="32"/>
          <w:szCs w:val="32"/>
        </w:rPr>
        <w:t>；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对个人和家庭的补助支出（303）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0.2</w:t>
      </w:r>
      <w:r>
        <w:rPr>
          <w:rFonts w:hint="eastAsia" w:ascii="仿宋_GB2312" w:hAnsi="仿宋" w:eastAsia="仿宋_GB2312" w:cs="仿宋"/>
          <w:sz w:val="32"/>
          <w:szCs w:val="32"/>
        </w:rPr>
        <w:t>万元，较上年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减少0.6</w:t>
      </w:r>
      <w:r>
        <w:rPr>
          <w:rFonts w:hint="eastAsia" w:ascii="仿宋_GB2312" w:hAnsi="仿宋" w:eastAsia="仿宋_GB2312" w:cs="仿宋"/>
          <w:sz w:val="32"/>
          <w:szCs w:val="32"/>
        </w:rPr>
        <w:t>万元，原因是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退休人员死亡</w:t>
      </w:r>
      <w:r>
        <w:rPr>
          <w:rFonts w:hint="eastAsia" w:ascii="仿宋_GB2312" w:hAnsi="仿宋" w:eastAsia="仿宋_GB2312" w:cs="仿宋"/>
          <w:sz w:val="32"/>
          <w:szCs w:val="32"/>
        </w:rPr>
        <w:t>。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（2）2020年本部门当年一般公共预算支出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157.07</w:t>
      </w:r>
      <w:r>
        <w:rPr>
          <w:rFonts w:hint="eastAsia" w:ascii="仿宋_GB2312" w:hAnsi="仿宋" w:eastAsia="仿宋_GB2312" w:cs="仿宋"/>
          <w:sz w:val="32"/>
          <w:szCs w:val="32"/>
        </w:rPr>
        <w:t>万元，其中：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机关工资福利支出（501）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139.02</w:t>
      </w:r>
      <w:r>
        <w:rPr>
          <w:rFonts w:hint="eastAsia" w:ascii="仿宋_GB2312" w:hAnsi="仿宋" w:eastAsia="仿宋_GB2312" w:cs="仿宋"/>
          <w:sz w:val="32"/>
          <w:szCs w:val="32"/>
        </w:rPr>
        <w:t>万元，较上年增加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36.53</w:t>
      </w:r>
      <w:r>
        <w:rPr>
          <w:rFonts w:hint="eastAsia" w:ascii="仿宋_GB2312" w:hAnsi="仿宋" w:eastAsia="仿宋_GB2312" w:cs="仿宋"/>
          <w:sz w:val="32"/>
          <w:szCs w:val="32"/>
        </w:rPr>
        <w:t>万元，原因是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人员增加</w:t>
      </w:r>
      <w:r>
        <w:rPr>
          <w:rFonts w:hint="eastAsia" w:ascii="仿宋_GB2312" w:hAnsi="仿宋" w:eastAsia="仿宋_GB2312" w:cs="仿宋"/>
          <w:sz w:val="32"/>
          <w:szCs w:val="32"/>
        </w:rPr>
        <w:t>；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机关商品和服务支出（502）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18.48</w:t>
      </w:r>
      <w:r>
        <w:rPr>
          <w:rFonts w:hint="eastAsia" w:ascii="仿宋_GB2312" w:hAnsi="仿宋" w:eastAsia="仿宋_GB2312" w:cs="仿宋"/>
          <w:sz w:val="32"/>
          <w:szCs w:val="32"/>
        </w:rPr>
        <w:t>万元，较上年减少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23.86</w:t>
      </w:r>
      <w:r>
        <w:rPr>
          <w:rFonts w:hint="eastAsia" w:ascii="仿宋_GB2312" w:hAnsi="仿宋" w:eastAsia="仿宋_GB2312" w:cs="仿宋"/>
          <w:sz w:val="32"/>
          <w:szCs w:val="32"/>
        </w:rPr>
        <w:t>万元，原因是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财政压缩、节约预算支出</w:t>
      </w:r>
      <w:r>
        <w:rPr>
          <w:rFonts w:hint="eastAsia" w:ascii="仿宋_GB2312" w:hAnsi="仿宋" w:eastAsia="仿宋_GB2312" w:cs="仿宋"/>
          <w:sz w:val="32"/>
          <w:szCs w:val="32"/>
        </w:rPr>
        <w:t>；</w:t>
      </w:r>
    </w:p>
    <w:p>
      <w:pPr>
        <w:spacing w:line="560" w:lineRule="exact"/>
        <w:ind w:firstLine="643"/>
        <w:rPr>
          <w:rFonts w:hint="eastAsia" w:ascii="仿宋_GB2312" w:hAnsi="仿宋" w:eastAsia="仿宋_GB2312" w:cs="仿宋"/>
          <w:b/>
          <w:bCs/>
          <w:sz w:val="32"/>
          <w:szCs w:val="32"/>
        </w:rPr>
      </w:pPr>
    </w:p>
    <w:p>
      <w:pPr>
        <w:spacing w:line="560" w:lineRule="exact"/>
        <w:ind w:firstLine="643"/>
        <w:rPr>
          <w:rFonts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（四）政府性基金预算支出情况。</w:t>
      </w:r>
    </w:p>
    <w:p>
      <w:pPr>
        <w:spacing w:line="560" w:lineRule="exact"/>
        <w:ind w:firstLine="640"/>
        <w:rPr>
          <w:rFonts w:ascii="仿宋_GB2312" w:hAnsi="仿宋" w:eastAsia="仿宋_GB2312" w:cs="仿宋"/>
          <w:b w:val="0"/>
          <w:bCs w:val="0"/>
          <w:sz w:val="32"/>
          <w:szCs w:val="32"/>
        </w:rPr>
      </w:pPr>
      <w:r>
        <w:rPr>
          <w:rFonts w:hint="eastAsia" w:ascii="仿宋_GB2312" w:hAnsi="仿宋" w:eastAsia="仿宋_GB2312" w:cs="仿宋"/>
          <w:b w:val="0"/>
          <w:bCs w:val="0"/>
          <w:sz w:val="32"/>
          <w:szCs w:val="32"/>
        </w:rPr>
        <w:t>本部门无2019年结转的政府性基金预算拨款支出。</w:t>
      </w:r>
    </w:p>
    <w:p>
      <w:pPr>
        <w:spacing w:line="560" w:lineRule="exact"/>
        <w:ind w:firstLine="643"/>
        <w:rPr>
          <w:rFonts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（五）国有资本经营预算拨款收支情况。</w:t>
      </w:r>
    </w:p>
    <w:p>
      <w:pPr>
        <w:spacing w:line="560" w:lineRule="exact"/>
        <w:ind w:firstLine="64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本部门无2019年结转的国有资本经营预算拨款支出。</w:t>
      </w:r>
    </w:p>
    <w:p>
      <w:pPr>
        <w:spacing w:line="560" w:lineRule="exact"/>
        <w:ind w:firstLine="640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numPr>
          <w:ilvl w:val="0"/>
          <w:numId w:val="1"/>
        </w:numPr>
        <w:spacing w:line="560" w:lineRule="exact"/>
        <w:ind w:left="0" w:leftChars="0" w:firstLine="0" w:firstLineChars="0"/>
        <w:jc w:val="center"/>
        <w:rPr>
          <w:rFonts w:hint="eastAsia"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 xml:space="preserve"> 其他说明情况</w:t>
      </w:r>
    </w:p>
    <w:p>
      <w:pPr>
        <w:spacing w:line="560" w:lineRule="exact"/>
        <w:ind w:firstLine="643"/>
        <w:rPr>
          <w:rFonts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六、部门预算“三公”经费等预算情况说明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2020年本部门当年一般公共预算“三公”经费预算支出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2.92</w:t>
      </w:r>
      <w:r>
        <w:rPr>
          <w:rFonts w:hint="eastAsia" w:ascii="仿宋_GB2312" w:hAnsi="仿宋" w:eastAsia="仿宋_GB2312" w:cs="仿宋"/>
          <w:sz w:val="32"/>
          <w:szCs w:val="32"/>
        </w:rPr>
        <w:t>万元，较上年减少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0.65</w:t>
      </w:r>
      <w:r>
        <w:rPr>
          <w:rFonts w:hint="eastAsia" w:ascii="仿宋_GB2312" w:hAnsi="仿宋" w:eastAsia="仿宋_GB2312" w:cs="仿宋"/>
          <w:sz w:val="32"/>
          <w:szCs w:val="32"/>
        </w:rPr>
        <w:t>万元（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-0.15</w:t>
      </w:r>
      <w:r>
        <w:rPr>
          <w:rFonts w:hint="eastAsia" w:ascii="仿宋_GB2312" w:hAnsi="仿宋" w:eastAsia="仿宋_GB2312" w:cs="仿宋"/>
          <w:sz w:val="32"/>
          <w:szCs w:val="32"/>
        </w:rPr>
        <w:t>%）减少的主要原因是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厉行节约</w:t>
      </w:r>
      <w:r>
        <w:rPr>
          <w:rFonts w:hint="eastAsia" w:ascii="仿宋_GB2312" w:hAnsi="仿宋" w:eastAsia="仿宋_GB2312" w:cs="仿宋"/>
          <w:sz w:val="32"/>
          <w:szCs w:val="32"/>
        </w:rPr>
        <w:t>。其中：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培训费0.42元</w:t>
      </w:r>
      <w:r>
        <w:rPr>
          <w:rFonts w:hint="eastAsia" w:ascii="仿宋_GB2312" w:hAnsi="仿宋" w:eastAsia="仿宋_GB2312" w:cs="仿宋"/>
          <w:sz w:val="32"/>
          <w:szCs w:val="32"/>
        </w:rPr>
        <w:t>较上年增加（减少）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0.5</w:t>
      </w:r>
      <w:r>
        <w:rPr>
          <w:rFonts w:hint="eastAsia" w:ascii="仿宋_GB2312" w:hAnsi="仿宋" w:eastAsia="仿宋_GB2312" w:cs="仿宋"/>
          <w:sz w:val="32"/>
          <w:szCs w:val="32"/>
        </w:rPr>
        <w:t>万元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，厉行节约，减少培训费支出；会议费0元</w:t>
      </w:r>
      <w:r>
        <w:rPr>
          <w:rFonts w:hint="eastAsia" w:ascii="仿宋_GB2312" w:hAnsi="仿宋" w:eastAsia="仿宋_GB2312" w:cs="仿宋"/>
          <w:sz w:val="32"/>
          <w:szCs w:val="32"/>
        </w:rPr>
        <w:t>较上年增加（减少）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0.15</w:t>
      </w:r>
      <w:r>
        <w:rPr>
          <w:rFonts w:hint="eastAsia" w:ascii="仿宋_GB2312" w:hAnsi="仿宋" w:eastAsia="仿宋_GB2312" w:cs="仿宋"/>
          <w:sz w:val="32"/>
          <w:szCs w:val="32"/>
        </w:rPr>
        <w:t>万元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，厉行节约，减少会议支出；</w:t>
      </w:r>
      <w:r>
        <w:rPr>
          <w:rFonts w:hint="eastAsia" w:ascii="仿宋_GB2312" w:hAnsi="仿宋" w:eastAsia="仿宋_GB2312" w:cs="仿宋"/>
          <w:sz w:val="32"/>
          <w:szCs w:val="32"/>
        </w:rPr>
        <w:t>因公出国（境）经费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0</w:t>
      </w:r>
      <w:r>
        <w:rPr>
          <w:rFonts w:hint="eastAsia" w:ascii="仿宋_GB2312" w:hAnsi="仿宋" w:eastAsia="仿宋_GB2312" w:cs="仿宋"/>
          <w:sz w:val="32"/>
          <w:szCs w:val="32"/>
        </w:rPr>
        <w:t>万元；公务接待费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0</w:t>
      </w:r>
      <w:r>
        <w:rPr>
          <w:rFonts w:hint="eastAsia" w:ascii="仿宋_GB2312" w:hAnsi="仿宋" w:eastAsia="仿宋_GB2312" w:cs="仿宋"/>
          <w:sz w:val="32"/>
          <w:szCs w:val="32"/>
        </w:rPr>
        <w:t>万元；公务用车运行费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2.5</w:t>
      </w:r>
      <w:r>
        <w:rPr>
          <w:rFonts w:hint="eastAsia" w:ascii="仿宋_GB2312" w:hAnsi="仿宋" w:eastAsia="仿宋_GB2312" w:cs="仿宋"/>
          <w:sz w:val="32"/>
          <w:szCs w:val="32"/>
        </w:rPr>
        <w:t>万元，较上年增加（减少）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0</w:t>
      </w:r>
      <w:r>
        <w:rPr>
          <w:rFonts w:hint="eastAsia" w:ascii="仿宋_GB2312" w:hAnsi="仿宋" w:eastAsia="仿宋_GB2312" w:cs="仿宋"/>
          <w:sz w:val="32"/>
          <w:szCs w:val="32"/>
        </w:rPr>
        <w:t>万元（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0</w:t>
      </w:r>
      <w:r>
        <w:rPr>
          <w:rFonts w:hint="eastAsia" w:ascii="仿宋_GB2312" w:hAnsi="仿宋" w:eastAsia="仿宋_GB2312" w:cs="仿宋"/>
          <w:sz w:val="32"/>
          <w:szCs w:val="32"/>
        </w:rPr>
        <w:t>%）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无变化</w:t>
      </w:r>
      <w:r>
        <w:rPr>
          <w:rFonts w:hint="eastAsia" w:ascii="仿宋_GB2312" w:hAnsi="仿宋" w:eastAsia="仿宋_GB2312" w:cs="仿宋"/>
          <w:sz w:val="32"/>
          <w:szCs w:val="32"/>
        </w:rPr>
        <w:t>；公务用车购置费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0</w:t>
      </w:r>
      <w:r>
        <w:rPr>
          <w:rFonts w:hint="eastAsia" w:ascii="仿宋_GB2312" w:hAnsi="仿宋" w:eastAsia="仿宋_GB2312" w:cs="仿宋"/>
          <w:sz w:val="32"/>
          <w:szCs w:val="32"/>
        </w:rPr>
        <w:t>万元，较上年增加（减少）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0</w:t>
      </w:r>
      <w:r>
        <w:rPr>
          <w:rFonts w:hint="eastAsia" w:ascii="仿宋_GB2312" w:hAnsi="仿宋" w:eastAsia="仿宋_GB2312" w:cs="仿宋"/>
          <w:sz w:val="32"/>
          <w:szCs w:val="32"/>
        </w:rPr>
        <w:t>万元（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0</w:t>
      </w:r>
      <w:r>
        <w:rPr>
          <w:rFonts w:hint="eastAsia" w:ascii="仿宋_GB2312" w:hAnsi="仿宋" w:eastAsia="仿宋_GB2312" w:cs="仿宋"/>
          <w:sz w:val="32"/>
          <w:szCs w:val="32"/>
        </w:rPr>
        <w:t>%）。</w:t>
      </w:r>
    </w:p>
    <w:p>
      <w:pPr>
        <w:numPr>
          <w:ilvl w:val="0"/>
          <w:numId w:val="2"/>
        </w:numPr>
        <w:spacing w:line="560" w:lineRule="exact"/>
        <w:ind w:firstLine="643"/>
        <w:rPr>
          <w:rFonts w:hint="eastAsia"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部门国有资产占有使用及资产购置情况说明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本部门无2019年结转的财政拨款支出资产购置。</w:t>
      </w:r>
    </w:p>
    <w:p>
      <w:pPr>
        <w:spacing w:line="560" w:lineRule="exact"/>
        <w:ind w:firstLine="643"/>
        <w:rPr>
          <w:rFonts w:hint="eastAsia" w:ascii="仿宋_GB2312" w:hAnsi="仿宋" w:eastAsia="仿宋_GB2312" w:cs="仿宋"/>
          <w:b/>
          <w:bCs/>
          <w:sz w:val="32"/>
          <w:szCs w:val="32"/>
        </w:rPr>
      </w:pPr>
    </w:p>
    <w:p>
      <w:pPr>
        <w:numPr>
          <w:ilvl w:val="0"/>
          <w:numId w:val="2"/>
        </w:numPr>
        <w:spacing w:line="560" w:lineRule="exact"/>
        <w:ind w:left="0" w:leftChars="0" w:firstLine="643" w:firstLineChars="0"/>
        <w:rPr>
          <w:rFonts w:hint="eastAsia"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部门政府采购情况说明</w:t>
      </w:r>
    </w:p>
    <w:p>
      <w:pPr>
        <w:numPr>
          <w:numId w:val="0"/>
        </w:numPr>
        <w:spacing w:line="560" w:lineRule="exact"/>
        <w:ind w:left="643" w:leftChars="0"/>
        <w:rPr>
          <w:rFonts w:hint="eastAsia" w:ascii="仿宋_GB2312" w:hAnsi="仿宋" w:eastAsia="仿宋_GB2312" w:cs="仿宋"/>
          <w:b w:val="0"/>
          <w:bCs w:val="0"/>
          <w:sz w:val="32"/>
          <w:szCs w:val="32"/>
        </w:rPr>
      </w:pPr>
      <w:r>
        <w:rPr>
          <w:rFonts w:hint="eastAsia" w:ascii="仿宋_GB2312" w:hAnsi="仿宋" w:eastAsia="仿宋_GB2312" w:cs="仿宋"/>
          <w:b w:val="0"/>
          <w:bCs w:val="0"/>
          <w:sz w:val="32"/>
          <w:szCs w:val="32"/>
        </w:rPr>
        <w:t>本部门2020年无政府采购预算，并已公开空表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 w:cs="仿宋"/>
          <w:b w:val="0"/>
          <w:bCs w:val="0"/>
          <w:sz w:val="32"/>
          <w:szCs w:val="32"/>
        </w:rPr>
      </w:pPr>
      <w:r>
        <w:rPr>
          <w:rFonts w:hint="eastAsia" w:ascii="仿宋_GB2312" w:hAnsi="仿宋" w:eastAsia="仿宋_GB2312" w:cs="仿宋"/>
          <w:b w:val="0"/>
          <w:bCs w:val="0"/>
          <w:sz w:val="32"/>
          <w:szCs w:val="32"/>
        </w:rPr>
        <w:t>本部门无2019年结转的政府采购资金支出。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 w:cs="仿宋"/>
          <w:b w:val="0"/>
          <w:bCs w:val="0"/>
          <w:sz w:val="32"/>
          <w:szCs w:val="32"/>
        </w:rPr>
      </w:pPr>
      <w:bookmarkStart w:id="0" w:name="_GoBack"/>
      <w:bookmarkEnd w:id="0"/>
    </w:p>
    <w:p>
      <w:pPr>
        <w:spacing w:line="560" w:lineRule="exact"/>
        <w:ind w:firstLine="643"/>
        <w:rPr>
          <w:rFonts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九、部门预算绩效目标说明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本部门无2019年结转的财政拨款支出涉及的绩效目标管理。</w:t>
      </w:r>
    </w:p>
    <w:p>
      <w:pPr>
        <w:spacing w:line="560" w:lineRule="exact"/>
        <w:ind w:firstLine="643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十、机关运行经费安排说明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本部门当年机关运行经费预算安排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15.48</w:t>
      </w:r>
      <w:r>
        <w:rPr>
          <w:rFonts w:hint="eastAsia" w:ascii="仿宋_GB2312" w:hAnsi="仿宋" w:eastAsia="仿宋_GB2312" w:cs="仿宋"/>
          <w:sz w:val="32"/>
          <w:szCs w:val="32"/>
        </w:rPr>
        <w:t>万元，较上年增加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3.14</w:t>
      </w:r>
      <w:r>
        <w:rPr>
          <w:rFonts w:hint="eastAsia" w:ascii="仿宋_GB2312" w:hAnsi="仿宋" w:eastAsia="仿宋_GB2312" w:cs="仿宋"/>
          <w:sz w:val="32"/>
          <w:szCs w:val="32"/>
        </w:rPr>
        <w:t>万元，主要原因是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人员增加</w:t>
      </w:r>
      <w:r>
        <w:rPr>
          <w:rFonts w:hint="eastAsia" w:ascii="仿宋_GB2312" w:hAnsi="仿宋" w:eastAsia="仿宋_GB2312" w:cs="仿宋"/>
          <w:sz w:val="32"/>
          <w:szCs w:val="32"/>
        </w:rPr>
        <w:t>。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本部门无2019年结转的财政拨款机关运行经费支出。</w:t>
      </w:r>
    </w:p>
    <w:p>
      <w:pPr>
        <w:spacing w:line="560" w:lineRule="exact"/>
        <w:ind w:firstLine="643"/>
        <w:rPr>
          <w:rFonts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十一、专业名词解释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1.机关运行经费：指各部门的公用经费，包括办公及印刷费、邮电费、差旅费、会议费、福利费、日常维修费、专用材料及一般设备购置费、办公用房水电费、办公用房取暖费、办公用房物业管理费、公务用车运行费以及其他费用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2.</w:t>
      </w:r>
      <w:r>
        <w:rPr>
          <w:rFonts w:hint="eastAsia" w:ascii="仿宋" w:hAnsi="仿宋" w:eastAsia="仿宋" w:cs="仿宋"/>
          <w:sz w:val="32"/>
          <w:szCs w:val="32"/>
          <w:shd w:val="clear" w:fill="FFFFFF"/>
        </w:rPr>
        <w:t>三公经费：指财政拨款支出安排的出国（境）费、车辆购置及运行费、公务接待费这三项经费。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shd w:val="clear" w:fill="FFFFFF"/>
        </w:rPr>
        <w:t>　　3.基本支出：包括人员经费和日常公用经费两部分。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40"/>
        <w:jc w:val="left"/>
        <w:rPr>
          <w:rFonts w:hint="eastAsia" w:ascii="仿宋" w:hAnsi="仿宋" w:eastAsia="仿宋" w:cs="仿宋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fill="FFFFFF"/>
        </w:rPr>
        <w:t>4.项目支出：项目支出是除基本预算支出以外财政预算专项专款安排的支出</w:t>
      </w:r>
      <w:r>
        <w:rPr>
          <w:rFonts w:hint="eastAsia" w:ascii="仿宋" w:hAnsi="仿宋" w:eastAsia="仿宋" w:cs="仿宋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shd w:val="clear" w:fill="FFFFFF"/>
          <w:lang w:val="en-US" w:eastAsia="zh-CN"/>
        </w:rPr>
        <w:t>主要为残疾人事业支出。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</w:p>
    <w:p>
      <w:pPr>
        <w:spacing w:line="560" w:lineRule="exact"/>
        <w:ind w:firstLine="643"/>
        <w:jc w:val="center"/>
        <w:rPr>
          <w:rFonts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第四部分  公开报表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（见附件2内容）</w:t>
      </w:r>
      <w:r>
        <w:rPr>
          <w:rFonts w:hint="eastAsia" w:ascii="仿宋_GB2312" w:hAnsi="仿宋" w:eastAsia="仿宋_GB2312" w:cs="仿宋"/>
          <w:sz w:val="32"/>
          <w:szCs w:val="32"/>
        </w:rPr>
        <w:tab/>
      </w:r>
    </w:p>
    <w:p>
      <w:pPr>
        <w:rPr>
          <w:rFonts w:ascii="仿宋" w:hAnsi="仿宋" w:eastAsia="仿宋"/>
          <w:sz w:val="32"/>
          <w:szCs w:val="32"/>
        </w:rPr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8D1777"/>
    <w:multiLevelType w:val="singleLevel"/>
    <w:tmpl w:val="858D1777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024591E"/>
    <w:multiLevelType w:val="singleLevel"/>
    <w:tmpl w:val="6024591E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D04"/>
    <w:rsid w:val="00012317"/>
    <w:rsid w:val="00063A9A"/>
    <w:rsid w:val="000A1D04"/>
    <w:rsid w:val="001F2821"/>
    <w:rsid w:val="001F65A3"/>
    <w:rsid w:val="002D7F8A"/>
    <w:rsid w:val="003A66A9"/>
    <w:rsid w:val="004F4799"/>
    <w:rsid w:val="00634C7F"/>
    <w:rsid w:val="006E5F99"/>
    <w:rsid w:val="0073231E"/>
    <w:rsid w:val="007960B2"/>
    <w:rsid w:val="00877A2F"/>
    <w:rsid w:val="00930DEC"/>
    <w:rsid w:val="00A6477B"/>
    <w:rsid w:val="00AB4E86"/>
    <w:rsid w:val="00B40722"/>
    <w:rsid w:val="00C40B32"/>
    <w:rsid w:val="00D15506"/>
    <w:rsid w:val="00D22849"/>
    <w:rsid w:val="00E6289F"/>
    <w:rsid w:val="00E7061A"/>
    <w:rsid w:val="00E75925"/>
    <w:rsid w:val="00E91F81"/>
    <w:rsid w:val="00FA322D"/>
    <w:rsid w:val="027F5BB6"/>
    <w:rsid w:val="05454ED5"/>
    <w:rsid w:val="062869C8"/>
    <w:rsid w:val="07CE31A1"/>
    <w:rsid w:val="09C30FFD"/>
    <w:rsid w:val="09F9680D"/>
    <w:rsid w:val="0D34203C"/>
    <w:rsid w:val="0DD43C45"/>
    <w:rsid w:val="0DD72E10"/>
    <w:rsid w:val="0FA2006F"/>
    <w:rsid w:val="100C2D42"/>
    <w:rsid w:val="193478CA"/>
    <w:rsid w:val="1EBB75A9"/>
    <w:rsid w:val="2104473F"/>
    <w:rsid w:val="24317CAB"/>
    <w:rsid w:val="243C655D"/>
    <w:rsid w:val="2B551CE6"/>
    <w:rsid w:val="2FB42080"/>
    <w:rsid w:val="325B301F"/>
    <w:rsid w:val="373678A1"/>
    <w:rsid w:val="3E366BA0"/>
    <w:rsid w:val="43C547F3"/>
    <w:rsid w:val="442A7416"/>
    <w:rsid w:val="45B538FF"/>
    <w:rsid w:val="49CC1FB3"/>
    <w:rsid w:val="57111C83"/>
    <w:rsid w:val="576F580D"/>
    <w:rsid w:val="660D4810"/>
    <w:rsid w:val="66AE38AE"/>
    <w:rsid w:val="74282536"/>
    <w:rsid w:val="75954522"/>
    <w:rsid w:val="7E98003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chart" Target="charts/chart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5" Type="http://schemas.microsoft.com/office/2011/relationships/chartColorStyle" Target="colors1.xml"/><Relationship Id="rId4" Type="http://schemas.microsoft.com/office/2011/relationships/chartStyle" Target="style1.xml"/><Relationship Id="rId3" Type="http://schemas.openxmlformats.org/officeDocument/2006/relationships/image" Target="../media/image1.png"/><Relationship Id="rId2" Type="http://schemas.openxmlformats.org/officeDocument/2006/relationships/themeOverride" Target="../theme/themeOverride1.xml"/><Relationship Id="rId1" Type="http://schemas.openxmlformats.org/officeDocument/2006/relationships/package" Target="../embeddings/Workbook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0" vertOverflow="ellipsis" vert="horz" wrap="square" anchor="ctr" anchorCtr="1" forceAA="0"/>
          <a:lstStyle/>
          <a:p>
            <a:pPr defTabSz="914400">
              <a:defRPr lang="zh-CN" sz="14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微软雅黑" panose="020B0503020204020204" pitchFamily="34" charset="-122"/>
                <a:ea typeface="微软雅黑" panose="020B0503020204020204" pitchFamily="34" charset="-122"/>
                <a:cs typeface="微软雅黑" panose="020B0503020204020204" pitchFamily="34" charset="-122"/>
                <a:sym typeface="微软雅黑" panose="020B0503020204020204" pitchFamily="34" charset="-122"/>
              </a:defRPr>
            </a:pPr>
            <a:r>
              <a:rPr altLang="zh-CN"/>
              <a:t>人员增减对比图</a:t>
            </a:r>
            <a:endParaRPr altLang="zh-CN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9349191500735"/>
          <c:y val="0.175066904549509"/>
          <c:w val="0.877108111719898"/>
          <c:h val="0.609812667261374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人数</c:v>
                </c:pt>
              </c:strCache>
            </c:strRef>
          </c:tx>
          <c:spPr>
            <a:blipFill rotWithShape="1">
              <a:blip xmlns:r="http://schemas.openxmlformats.org/officeDocument/2006/relationships" r:embed="rId3"/>
              <a:stretch>
                <a:fillRect/>
              </a:stretch>
            </a:blipFill>
            <a:ln>
              <a:noFill/>
            </a:ln>
            <a:effectLst>
              <a:outerShdw blurRad="76200" dir="18900000" sy="23000" kx="-1200000" algn="bl" rotWithShape="0">
                <a:prstClr val="black">
                  <a:alpha val="20000"/>
                </a:prstClr>
              </a:out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微软雅黑" panose="020B0503020204020204" pitchFamily="34" charset="-122"/>
                    <a:ea typeface="微软雅黑" panose="020B0503020204020204" pitchFamily="34" charset="-122"/>
                    <a:cs typeface="微软雅黑" panose="020B0503020204020204" pitchFamily="34" charset="-122"/>
                    <a:sym typeface="微软雅黑" panose="020B0503020204020204" pitchFamily="34" charset="-122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cat>
            <c:strRef>
              <c:f>Sheet1!$A$2:$A$3</c:f>
              <c:strCache>
                <c:ptCount val="2"/>
                <c:pt idx="0">
                  <c:v>2019年</c:v>
                </c:pt>
                <c:pt idx="1">
                  <c:v>2020年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13</c:v>
                </c:pt>
                <c:pt idx="1">
                  <c:v>14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68"/>
        <c:overlap val="-10"/>
        <c:axId val="478161572"/>
        <c:axId val="61675211"/>
      </c:barChart>
      <c:catAx>
        <c:axId val="478161572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 forceAA="0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微软雅黑" panose="020B0503020204020204" pitchFamily="34" charset="-122"/>
                <a:ea typeface="微软雅黑" panose="020B0503020204020204" pitchFamily="34" charset="-122"/>
                <a:cs typeface="微软雅黑" panose="020B0503020204020204" pitchFamily="34" charset="-122"/>
                <a:sym typeface="微软雅黑" panose="020B0503020204020204" pitchFamily="34" charset="-122"/>
              </a:defRPr>
            </a:pPr>
          </a:p>
        </c:txPr>
        <c:crossAx val="61675211"/>
        <c:crosses val="autoZero"/>
        <c:auto val="1"/>
        <c:lblAlgn val="ctr"/>
        <c:lblOffset val="100"/>
        <c:noMultiLvlLbl val="0"/>
      </c:catAx>
      <c:valAx>
        <c:axId val="61675211"/>
        <c:scaling>
          <c:orientation val="minMax"/>
          <c:min val="12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 forceAA="0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微软雅黑" panose="020B0503020204020204" pitchFamily="34" charset="-122"/>
                <a:ea typeface="微软雅黑" panose="020B0503020204020204" pitchFamily="34" charset="-122"/>
                <a:cs typeface="微软雅黑" panose="020B0503020204020204" pitchFamily="34" charset="-122"/>
                <a:sym typeface="微软雅黑" panose="020B0503020204020204" pitchFamily="34" charset="-122"/>
              </a:defRPr>
            </a:pPr>
          </a:p>
        </c:txPr>
        <c:crossAx val="478161572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微软雅黑" panose="020B0503020204020204" pitchFamily="34" charset="-122"/>
                <a:ea typeface="微软雅黑" panose="020B0503020204020204" pitchFamily="34" charset="-122"/>
                <a:cs typeface="微软雅黑" panose="020B0503020204020204" pitchFamily="34" charset="-122"/>
                <a:sym typeface="微软雅黑" panose="020B0503020204020204" pitchFamily="34" charset="-122"/>
              </a:defRPr>
            </a:pPr>
          </a:p>
        </c:txPr>
      </c:dTable>
      <c:spPr>
        <a:noFill/>
        <a:ln>
          <a:noFill/>
        </a:ln>
        <a:effectLst/>
      </c:spPr>
    </c:plotArea>
    <c:legend>
      <c:legendPos val="b"/>
      <c:legendEntry>
        <c:idx val="0"/>
        <c:txPr>
          <a:bodyPr rot="0" spcFirstLastPara="0" vertOverflow="ellipsis" vert="horz" wrap="square" anchor="ctr" anchorCtr="1" forceAA="0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微软雅黑" panose="020B0503020204020204" pitchFamily="34" charset="-122"/>
                <a:ea typeface="微软雅黑" panose="020B0503020204020204" pitchFamily="34" charset="-122"/>
                <a:cs typeface="微软雅黑" panose="020B0503020204020204" pitchFamily="34" charset="-122"/>
                <a:sym typeface="微软雅黑" panose="020B0503020204020204" pitchFamily="34" charset="-122"/>
              </a:defRPr>
            </a:pPr>
          </a:p>
        </c:txPr>
      </c:legendEntry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 forceAA="0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微软雅黑" panose="020B0503020204020204" pitchFamily="34" charset="-122"/>
              <a:ea typeface="微软雅黑" panose="020B0503020204020204" pitchFamily="34" charset="-122"/>
              <a:cs typeface="微软雅黑" panose="020B0503020204020204" pitchFamily="34" charset="-122"/>
              <a:sym typeface="微软雅黑" panose="020B0503020204020204" pitchFamily="34" charset="-122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>
      <a:outerShdw blurRad="63500" dist="37357" dir="2700000" sx="0" sy="0" rotWithShape="0">
        <a:scrgbClr r="0" g="0" b="0"/>
      </a:outerShdw>
    </a:effectLst>
  </c:spPr>
  <c:txPr>
    <a:bodyPr/>
    <a:lstStyle/>
    <a:p>
      <a:pPr>
        <a:defRPr lang="zh-CN">
          <a:latin typeface="微软雅黑" panose="020B0503020204020204" pitchFamily="34" charset="-122"/>
          <a:ea typeface="微软雅黑" panose="020B0503020204020204" pitchFamily="34" charset="-122"/>
          <a:cs typeface="微软雅黑" panose="020B0503020204020204" pitchFamily="34" charset="-122"/>
          <a:sym typeface="微软雅黑" panose="020B0503020204020204" pitchFamily="34" charset="-122"/>
        </a:defRPr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277</Words>
  <Characters>1581</Characters>
  <Lines>13</Lines>
  <Paragraphs>3</Paragraphs>
  <TotalTime>10</TotalTime>
  <ScaleCrop>false</ScaleCrop>
  <LinksUpToDate>false</LinksUpToDate>
  <CharactersWithSpaces>1855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2016-04-26T06:55:00Z</dcterms:created>
  <dc:creator>微软用户</dc:creator>
  <cp:lastModifiedBy>女皇</cp:lastModifiedBy>
  <dcterms:modified xsi:type="dcterms:W3CDTF">2021-05-28T07:34:11Z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D331AACE0DCD4AA99F823C5904436F0B</vt:lpwstr>
  </property>
</Properties>
</file>