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66C5" w:rsidRDefault="009466C5" w:rsidP="00931140">
      <w:pPr>
        <w:spacing w:line="560" w:lineRule="exact"/>
        <w:rPr>
          <w:rFonts w:ascii="方正小标宋简体" w:eastAsia="方正小标宋简体"/>
          <w:sz w:val="44"/>
          <w:szCs w:val="44"/>
        </w:rPr>
      </w:pPr>
    </w:p>
    <w:p w:rsidR="00377597" w:rsidRDefault="00377597" w:rsidP="00377597">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中国共产党西安市莲湖区委员会宣传部</w:t>
      </w:r>
    </w:p>
    <w:p w:rsidR="009466C5" w:rsidRDefault="00DA5AAD">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2020</w:t>
      </w:r>
      <w:r w:rsidR="00931140">
        <w:rPr>
          <w:rFonts w:ascii="方正小标宋简体" w:eastAsia="方正小标宋简体" w:hint="eastAsia"/>
          <w:sz w:val="44"/>
          <w:szCs w:val="44"/>
        </w:rPr>
        <w:t>年部门预算公开</w:t>
      </w:r>
    </w:p>
    <w:p w:rsidR="009466C5" w:rsidRDefault="009466C5">
      <w:pPr>
        <w:spacing w:line="560" w:lineRule="exact"/>
        <w:ind w:firstLineChars="200" w:firstLine="640"/>
        <w:jc w:val="center"/>
        <w:rPr>
          <w:rFonts w:ascii="仿宋_GB2312" w:eastAsia="仿宋_GB2312" w:hAnsi="仿宋_GB2312" w:cs="仿宋_GB2312"/>
          <w:color w:val="2B2B2B"/>
          <w:sz w:val="32"/>
          <w:szCs w:val="32"/>
          <w:shd w:val="clear" w:color="auto" w:fill="FFFFFF"/>
        </w:rPr>
      </w:pPr>
    </w:p>
    <w:p w:rsidR="009466C5" w:rsidRDefault="00DA5AAD">
      <w:pPr>
        <w:spacing w:line="560" w:lineRule="exact"/>
        <w:ind w:firstLineChars="200" w:firstLine="640"/>
        <w:jc w:val="center"/>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第一部分 部门概况</w:t>
      </w:r>
    </w:p>
    <w:p w:rsidR="009466C5" w:rsidRDefault="009466C5">
      <w:pPr>
        <w:shd w:val="solid" w:color="FFFFFF" w:fill="auto"/>
        <w:autoSpaceDN w:val="0"/>
        <w:spacing w:line="560" w:lineRule="exact"/>
        <w:jc w:val="left"/>
        <w:rPr>
          <w:rFonts w:ascii="仿宋_GB2312" w:eastAsia="仿宋_GB2312" w:hAnsi="仿宋_GB2312" w:cs="仿宋_GB2312"/>
          <w:color w:val="2B2B2B"/>
          <w:sz w:val="32"/>
          <w:szCs w:val="32"/>
          <w:shd w:val="clear" w:color="auto" w:fill="FFFFFF"/>
        </w:rPr>
      </w:pPr>
    </w:p>
    <w:p w:rsidR="009466C5" w:rsidRDefault="00DA5AAD">
      <w:pPr>
        <w:shd w:val="solid" w:color="FFFFFF" w:fill="auto"/>
        <w:autoSpaceDN w:val="0"/>
        <w:spacing w:line="560" w:lineRule="exact"/>
        <w:jc w:val="left"/>
        <w:rPr>
          <w:rFonts w:ascii="黑体" w:eastAsia="黑体" w:hAnsi="黑体" w:cs="黑体"/>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 xml:space="preserve">　　</w:t>
      </w:r>
      <w:r w:rsidR="00931140">
        <w:rPr>
          <w:rFonts w:ascii="黑体" w:eastAsia="黑体" w:hAnsi="黑体" w:cs="黑体" w:hint="eastAsia"/>
          <w:color w:val="2B2B2B"/>
          <w:sz w:val="32"/>
          <w:szCs w:val="32"/>
          <w:shd w:val="clear" w:color="auto" w:fill="FFFFFF"/>
        </w:rPr>
        <w:t>一、</w:t>
      </w:r>
      <w:r w:rsidR="00931140" w:rsidRPr="00931140">
        <w:rPr>
          <w:rFonts w:ascii="黑体" w:eastAsia="黑体" w:hAnsi="黑体" w:cs="黑体" w:hint="eastAsia"/>
          <w:color w:val="2B2B2B"/>
          <w:sz w:val="30"/>
          <w:szCs w:val="30"/>
          <w:shd w:val="clear" w:color="auto" w:fill="FFFFFF"/>
        </w:rPr>
        <w:t>部门</w:t>
      </w:r>
      <w:r w:rsidRPr="00931140">
        <w:rPr>
          <w:rFonts w:ascii="黑体" w:eastAsia="黑体" w:hAnsi="黑体" w:cs="黑体" w:hint="eastAsia"/>
          <w:color w:val="2B2B2B"/>
          <w:sz w:val="30"/>
          <w:szCs w:val="30"/>
          <w:shd w:val="clear" w:color="auto" w:fill="FFFFFF"/>
        </w:rPr>
        <w:t>主要职责及机构设置</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sz w:val="32"/>
          <w:szCs w:val="32"/>
        </w:rPr>
        <w:t>（一）贯彻</w:t>
      </w:r>
      <w:r>
        <w:rPr>
          <w:rFonts w:ascii="仿宋_GB2312" w:eastAsia="仿宋_GB2312" w:hint="eastAsia"/>
          <w:color w:val="000000"/>
          <w:sz w:val="32"/>
          <w:szCs w:val="32"/>
        </w:rPr>
        <w:t>落实党中央、省委、市委和区委关于宣传思想文化工作的方针政策和决策部署，负责拟订全区宣传思想文化工作总体规划、目标任务、政策措施并组织实施，统筹协调推进宣传思想文化领域法治建设，按照区委统一部署，协调宣传思想文化系统各部门之间的工作。</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（二）统筹协调党的意识形态工作，贯彻落实党中央、省委、市委和区委关于意识形态工作的决策部署，负责统筹协调意识形态工作责任制落实和日常监督检查，结合巡察工作开展专项检查。</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负责指导协调全区理论研究、理论学习、理论宣传、理论教育、理论宣讲和理论队伍建设工作，负责督促检查全区各党委（党组）、党工委中心学习组和副处级以上领导干部的理论学习，做好区委中心学习组的服务工作。</w:t>
      </w:r>
    </w:p>
    <w:p w:rsidR="009466C5" w:rsidRDefault="00DA5AAD">
      <w:pPr>
        <w:spacing w:line="560" w:lineRule="exact"/>
        <w:ind w:firstLineChars="200" w:firstLine="640"/>
        <w:rPr>
          <w:rFonts w:ascii="仿宋_GB2312" w:eastAsia="仿宋_GB2312"/>
          <w:sz w:val="32"/>
          <w:szCs w:val="32"/>
          <w:u w:val="single"/>
        </w:rPr>
      </w:pPr>
      <w:r>
        <w:rPr>
          <w:rFonts w:ascii="仿宋_GB2312" w:eastAsia="仿宋_GB2312" w:hint="eastAsia"/>
          <w:color w:val="000000"/>
          <w:sz w:val="32"/>
          <w:szCs w:val="32"/>
        </w:rPr>
        <w:t>（四）负责全区社会主义核心价值观建设，负责规划组织全区思想政治教育工作，指导企业思想文化建设，开展形势政策教育、理想信念教育和爱国主义教育，组织开展重大节庆活动的宣</w:t>
      </w:r>
      <w:r>
        <w:rPr>
          <w:rFonts w:ascii="仿宋_GB2312" w:eastAsia="仿宋_GB2312" w:hint="eastAsia"/>
          <w:color w:val="000000"/>
          <w:sz w:val="32"/>
          <w:szCs w:val="32"/>
        </w:rPr>
        <w:lastRenderedPageBreak/>
        <w:t>传工作，配合有关部门做好全区党员教育和社会宣传教育工作。负责</w:t>
      </w:r>
      <w:proofErr w:type="gramStart"/>
      <w:r>
        <w:rPr>
          <w:rFonts w:ascii="仿宋_GB2312" w:eastAsia="仿宋_GB2312" w:hint="eastAsia"/>
          <w:color w:val="000000"/>
          <w:sz w:val="32"/>
          <w:szCs w:val="32"/>
        </w:rPr>
        <w:t>区思想</w:t>
      </w:r>
      <w:proofErr w:type="gramEnd"/>
      <w:r>
        <w:rPr>
          <w:rFonts w:ascii="仿宋_GB2312" w:eastAsia="仿宋_GB2312" w:hint="eastAsia"/>
          <w:color w:val="000000"/>
          <w:sz w:val="32"/>
          <w:szCs w:val="32"/>
        </w:rPr>
        <w:t>政治工作研究会的日常工作。</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（五）负责引导社会舆论，把握正确导向，指导协调全区新闻宣传工作，在政治方向和方针、政策方面实行领导。</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（六）统筹指导协调互联网宣传和内容管理，统筹协调新媒体的建设与管理。</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七）统筹规划和指导协调全区新闻出版事业和产业发展，指导协调有关部门开展新闻出版行政审批工作，监督管理印刷业、出版物发行业，管理全区内部资料性出版物，负责管理全区著作权工作，组织指导协调全区“扫黄打非”工作。</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八）统筹指导协调推动全区精神文化产品的创作与生产，协调组织中华优秀传统文化传承发展有关工作，指导协调全区群众文化建设和文化、新闻出版、广播电视和社会科学、文学艺术等专业性群众团体的工作。</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（九）统筹规划和指导协调全区电影事业和产业发展，指导协调有关部门开展电影行政审批工作，负责全区电影发行、放映和音像制品管理。</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十）负责对新闻出版、文化艺术改革发展研究提出政策性建议，统筹协调全区文化体制改革、文化事业、文化产业及旅游业发展，协调有关部门拟定全区文化和旅游产业发展规划、重大政策，协调推进全区文化和旅游产业重点项目及园区（基地）建设。</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（十一）统筹指导全区舆情信息工作，负责开展舆情信息收集分析</w:t>
      </w:r>
      <w:proofErr w:type="gramStart"/>
      <w:r>
        <w:rPr>
          <w:rFonts w:ascii="仿宋_GB2312" w:eastAsia="仿宋_GB2312" w:hint="eastAsia"/>
          <w:color w:val="000000"/>
          <w:sz w:val="32"/>
          <w:szCs w:val="32"/>
        </w:rPr>
        <w:t>研</w:t>
      </w:r>
      <w:proofErr w:type="gramEnd"/>
      <w:r>
        <w:rPr>
          <w:rFonts w:ascii="仿宋_GB2312" w:eastAsia="仿宋_GB2312" w:hint="eastAsia"/>
          <w:color w:val="000000"/>
          <w:sz w:val="32"/>
          <w:szCs w:val="32"/>
        </w:rPr>
        <w:t>判工作，监测跟踪、研究掌握舆情动态。</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十二）贯彻落实党中央、省委、市委和区委精神文明建设工作方针政策，负责制定精神文明建设规划和未成年人思想道德建设规划并组织实施，负责全区精神文明建设和群众性精神文明创建活动，指导协调全区思想道德建设、志愿服务、诚信建设等工作，组织开展以思想道德建设为核心的教育实践工作，开展精神文明建设调查研究和典型推广，承担区委精神文明建设指导委员会日常工作。</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十三）统筹协调全区对外宣传工作，研究制定对外宣传工作规划，统筹协调有关部门开展对外文化交流工作，指导协调全区新闻发布工作，承担区委区政府新闻发布有关组织协调工作，推动新闻发言人制度建设，协调并会同有关部门做好境外来访记者的服务引导工作。</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（十四）负责全区宣传文化系统干部培训和人才工作。</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（十五）负责对区委网络安全和信息化委员会办公室互联网宣传和信息内容管理工作实施方针政策指导，归口领导</w:t>
      </w:r>
      <w:proofErr w:type="gramStart"/>
      <w:r>
        <w:rPr>
          <w:rFonts w:ascii="仿宋_GB2312" w:eastAsia="仿宋_GB2312" w:hint="eastAsia"/>
          <w:color w:val="000000"/>
          <w:sz w:val="32"/>
          <w:szCs w:val="32"/>
        </w:rPr>
        <w:t>区委网信办</w:t>
      </w:r>
      <w:proofErr w:type="gramEnd"/>
      <w:r>
        <w:rPr>
          <w:rFonts w:ascii="仿宋_GB2312" w:eastAsia="仿宋_GB2312" w:hint="eastAsia"/>
          <w:color w:val="000000"/>
          <w:sz w:val="32"/>
          <w:szCs w:val="32"/>
        </w:rPr>
        <w:t>、区文化旅游体育局，受区委委托，</w:t>
      </w:r>
      <w:proofErr w:type="gramStart"/>
      <w:r>
        <w:rPr>
          <w:rFonts w:ascii="仿宋_GB2312" w:eastAsia="仿宋_GB2312" w:hint="eastAsia"/>
          <w:color w:val="000000"/>
          <w:sz w:val="32"/>
          <w:szCs w:val="32"/>
        </w:rPr>
        <w:t>代管区</w:t>
      </w:r>
      <w:proofErr w:type="gramEnd"/>
      <w:r>
        <w:rPr>
          <w:rFonts w:ascii="仿宋_GB2312" w:eastAsia="仿宋_GB2312" w:hint="eastAsia"/>
          <w:color w:val="000000"/>
          <w:sz w:val="32"/>
          <w:szCs w:val="32"/>
        </w:rPr>
        <w:t>文联。</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（十六）完成市委宣传部和区委交办的其他任务。</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（十七）有关职责分工。</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1.与区文化旅游体育局的职责分工。区委宣传部负责统筹协调全区文化和旅游产业发展，协调有关部门拟订全区文化和旅游</w:t>
      </w:r>
      <w:r>
        <w:rPr>
          <w:rFonts w:ascii="仿宋_GB2312" w:eastAsia="仿宋_GB2312" w:hint="eastAsia"/>
          <w:color w:val="000000"/>
          <w:sz w:val="32"/>
          <w:szCs w:val="32"/>
        </w:rPr>
        <w:lastRenderedPageBreak/>
        <w:t>产业发展规划、重大政策，协调推进全区文化和旅游产业重点项目及园区（基地）建设，负责全区文化产业发展目标责任年度考核相关工作。区文化旅游体育局负责统筹规划全区文化和旅游产业，负责拟订全区文化和旅游产业发展规划和相关政策并组织实施，推进全区文化和旅游产业重点项目实施及园区（基地）建设。</w:t>
      </w:r>
    </w:p>
    <w:p w:rsidR="009466C5" w:rsidRDefault="00DA5AAD">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2.与</w:t>
      </w:r>
      <w:proofErr w:type="gramStart"/>
      <w:r>
        <w:rPr>
          <w:rFonts w:ascii="仿宋_GB2312" w:eastAsia="仿宋_GB2312" w:hint="eastAsia"/>
          <w:color w:val="000000"/>
          <w:sz w:val="32"/>
          <w:szCs w:val="32"/>
        </w:rPr>
        <w:t>区委网信办</w:t>
      </w:r>
      <w:proofErr w:type="gramEnd"/>
      <w:r>
        <w:rPr>
          <w:rFonts w:ascii="仿宋_GB2312" w:eastAsia="仿宋_GB2312" w:hint="eastAsia"/>
          <w:color w:val="000000"/>
          <w:sz w:val="32"/>
          <w:szCs w:val="32"/>
        </w:rPr>
        <w:t>的职责分工。区委宣传部负责引导社会舆论，把握正确导向，维护意识形态安全，协调全区新闻工作，并在政治方向和方针、政策方面实施领导。</w:t>
      </w:r>
      <w:proofErr w:type="gramStart"/>
      <w:r>
        <w:rPr>
          <w:rFonts w:ascii="仿宋_GB2312" w:eastAsia="仿宋_GB2312" w:hint="eastAsia"/>
          <w:color w:val="000000"/>
          <w:sz w:val="32"/>
          <w:szCs w:val="32"/>
        </w:rPr>
        <w:t>区委网信办</w:t>
      </w:r>
      <w:proofErr w:type="gramEnd"/>
      <w:r>
        <w:rPr>
          <w:rFonts w:ascii="仿宋_GB2312" w:eastAsia="仿宋_GB2312" w:hint="eastAsia"/>
          <w:color w:val="000000"/>
          <w:sz w:val="32"/>
          <w:szCs w:val="32"/>
        </w:rPr>
        <w:t>负责互联网信息内容管理,统筹协调组织全区互联网宣传和舆论引导工作,维护互联网意识形态安全</w:t>
      </w:r>
      <w:r>
        <w:rPr>
          <w:rFonts w:ascii="仿宋_GB2312" w:eastAsia="仿宋_GB2312"/>
          <w:color w:val="000000"/>
          <w:sz w:val="32"/>
          <w:szCs w:val="32"/>
        </w:rPr>
        <w:t>,</w:t>
      </w:r>
      <w:r>
        <w:rPr>
          <w:rFonts w:ascii="仿宋_GB2312" w:eastAsia="仿宋_GB2312" w:hint="eastAsia"/>
          <w:color w:val="000000"/>
          <w:sz w:val="32"/>
          <w:szCs w:val="32"/>
        </w:rPr>
        <w:t>指导协调网络舆情信息工作, 推动网络阵地建设。</w:t>
      </w:r>
    </w:p>
    <w:p w:rsidR="009466C5" w:rsidRDefault="00DA5AAD">
      <w:pPr>
        <w:spacing w:line="560" w:lineRule="exact"/>
        <w:ind w:firstLineChars="200" w:firstLine="640"/>
        <w:rPr>
          <w:rFonts w:ascii="楷体" w:eastAsia="楷体" w:hAnsi="楷体" w:cs="楷体"/>
          <w:color w:val="FF0000"/>
          <w:sz w:val="32"/>
          <w:szCs w:val="32"/>
          <w:u w:val="single"/>
        </w:rPr>
      </w:pPr>
      <w:r>
        <w:rPr>
          <w:rFonts w:ascii="楷体" w:eastAsia="楷体" w:hAnsi="楷体" w:cs="楷体" w:hint="eastAsia"/>
          <w:sz w:val="32"/>
          <w:szCs w:val="32"/>
        </w:rPr>
        <w:t>区委宣传部</w:t>
      </w:r>
      <w:proofErr w:type="gramStart"/>
      <w:r>
        <w:rPr>
          <w:rFonts w:ascii="楷体" w:eastAsia="楷体" w:hAnsi="楷体" w:cs="楷体" w:hint="eastAsia"/>
          <w:sz w:val="32"/>
          <w:szCs w:val="32"/>
        </w:rPr>
        <w:t>设下列</w:t>
      </w:r>
      <w:proofErr w:type="gramEnd"/>
      <w:r>
        <w:rPr>
          <w:rFonts w:ascii="楷体" w:eastAsia="楷体" w:hAnsi="楷体" w:cs="楷体" w:hint="eastAsia"/>
          <w:sz w:val="32"/>
          <w:szCs w:val="32"/>
        </w:rPr>
        <w:t>内设机构：</w:t>
      </w:r>
    </w:p>
    <w:p w:rsidR="009466C5" w:rsidRDefault="00DA5AAD">
      <w:pPr>
        <w:snapToGrid w:val="0"/>
        <w:spacing w:line="560" w:lineRule="exact"/>
        <w:ind w:firstLineChars="200" w:firstLine="640"/>
        <w:rPr>
          <w:rFonts w:ascii="仿宋_GB2312" w:eastAsia="仿宋_GB2312"/>
          <w:sz w:val="32"/>
          <w:szCs w:val="32"/>
        </w:rPr>
      </w:pPr>
      <w:r>
        <w:rPr>
          <w:rFonts w:ascii="楷体_GB2312" w:eastAsia="楷体_GB2312" w:hint="eastAsia"/>
          <w:sz w:val="32"/>
          <w:szCs w:val="32"/>
        </w:rPr>
        <w:t>（一）办公室。</w:t>
      </w:r>
      <w:r>
        <w:rPr>
          <w:rFonts w:ascii="仿宋_GB2312" w:eastAsia="仿宋_GB2312" w:hint="eastAsia"/>
          <w:sz w:val="32"/>
          <w:szCs w:val="32"/>
        </w:rPr>
        <w:t>负责机关政务工作，督促检查机关工作制度的落实；负责机关会议的组织和会议决定事项的督办；负责组织起草重要综合材料和文稿；负责总结报送全区宣传思想文化工作典型经验；承办机关文电、机要、档案、保密、信访、接待、计划生育、财务、国有资产管理和后勤服务保障等工作；负责人大代表建议、议案和政协委员提案的办理;负责机关党支部建设、党风廉政、机构编制、干部人事、劳动工资、出国政审、培训、离退休人员服务管理等工作；负责组织实施目标责任综合考核工作</w:t>
      </w:r>
      <w:r>
        <w:rPr>
          <w:rFonts w:ascii="仿宋_GB2312" w:eastAsia="仿宋_GB2312"/>
          <w:sz w:val="32"/>
          <w:szCs w:val="32"/>
        </w:rPr>
        <w:t>;</w:t>
      </w:r>
      <w:r>
        <w:rPr>
          <w:rFonts w:ascii="仿宋_GB2312" w:eastAsia="仿宋_GB2312" w:hint="eastAsia"/>
          <w:sz w:val="32"/>
          <w:szCs w:val="32"/>
        </w:rPr>
        <w:t xml:space="preserve"> 指导区文化产业发展办公室贯彻落实中央和省、市、区文化产业发展工作方针政策，协调有关部门拟定全区文化和旅游产业</w:t>
      </w:r>
      <w:r>
        <w:rPr>
          <w:rFonts w:ascii="仿宋_GB2312" w:eastAsia="仿宋_GB2312" w:hint="eastAsia"/>
          <w:sz w:val="32"/>
          <w:szCs w:val="32"/>
        </w:rPr>
        <w:lastRenderedPageBreak/>
        <w:t>发展规划、政策措施，协调推进全区文化和旅游产业重点项目及园区（基地）建设；完成领导交办的其他工作。</w:t>
      </w:r>
    </w:p>
    <w:p w:rsidR="009466C5" w:rsidRDefault="00DA5AAD">
      <w:pPr>
        <w:snapToGrid w:val="0"/>
        <w:spacing w:line="560" w:lineRule="exact"/>
        <w:ind w:firstLineChars="200" w:firstLine="640"/>
        <w:rPr>
          <w:rFonts w:ascii="仿宋_GB2312" w:eastAsia="仿宋_GB2312"/>
          <w:color w:val="FF0000"/>
          <w:sz w:val="32"/>
          <w:szCs w:val="32"/>
        </w:rPr>
      </w:pPr>
      <w:r>
        <w:rPr>
          <w:rFonts w:ascii="楷体_GB2312" w:eastAsia="楷体_GB2312" w:hint="eastAsia"/>
          <w:sz w:val="32"/>
          <w:szCs w:val="32"/>
        </w:rPr>
        <w:t>（二）宣传科。</w:t>
      </w:r>
      <w:r>
        <w:rPr>
          <w:rFonts w:ascii="仿宋_GB2312" w:eastAsia="仿宋_GB2312" w:hint="eastAsia"/>
          <w:sz w:val="32"/>
          <w:szCs w:val="32"/>
        </w:rPr>
        <w:t>负责对全区新闻舆论工作的政策指导、导向管理、工作协调、业务监督和新闻队伍建设，负责组织协调全区重要会议、重大决策部署和重要活动的新闻宣传工作；</w:t>
      </w:r>
      <w:r>
        <w:rPr>
          <w:rFonts w:ascii="仿宋_GB2312" w:eastAsia="仿宋_GB2312" w:hint="eastAsia"/>
          <w:color w:val="000000"/>
          <w:sz w:val="32"/>
          <w:szCs w:val="32"/>
        </w:rPr>
        <w:t>负责从宏观上指导协调互联网宣传和信息内容管理工作；负责指导协调突发事件、社会热点的新闻报道和舆论引导；承担统筹协调</w:t>
      </w:r>
      <w:proofErr w:type="gramStart"/>
      <w:r>
        <w:rPr>
          <w:rFonts w:ascii="仿宋_GB2312" w:eastAsia="仿宋_GB2312" w:hint="eastAsia"/>
          <w:color w:val="000000"/>
          <w:sz w:val="32"/>
          <w:szCs w:val="32"/>
        </w:rPr>
        <w:t>融媒体</w:t>
      </w:r>
      <w:proofErr w:type="gramEnd"/>
      <w:r>
        <w:rPr>
          <w:rFonts w:ascii="仿宋_GB2312" w:eastAsia="仿宋_GB2312" w:hint="eastAsia"/>
          <w:color w:val="000000"/>
          <w:sz w:val="32"/>
          <w:szCs w:val="32"/>
        </w:rPr>
        <w:t>中心建设管理相关工作；加强与中省市媒体的联系沟通、对接服务工作，负责与有关新闻单位的业务联系；组织开展重大节日、纪念日和重要活动的宣传工作;树立和宣传重大先进典型；配合有关部门开展政法综</w:t>
      </w:r>
      <w:proofErr w:type="gramStart"/>
      <w:r>
        <w:rPr>
          <w:rFonts w:ascii="仿宋_GB2312" w:eastAsia="仿宋_GB2312" w:hint="eastAsia"/>
          <w:color w:val="000000"/>
          <w:sz w:val="32"/>
          <w:szCs w:val="32"/>
        </w:rPr>
        <w:t>治维稳</w:t>
      </w:r>
      <w:proofErr w:type="gramEnd"/>
      <w:r>
        <w:rPr>
          <w:rFonts w:ascii="仿宋_GB2312" w:eastAsia="仿宋_GB2312" w:hint="eastAsia"/>
          <w:color w:val="000000"/>
          <w:sz w:val="32"/>
          <w:szCs w:val="32"/>
        </w:rPr>
        <w:t>、普法宣传、区委确定的各类专项整治等社会宣传教育工作;</w:t>
      </w:r>
      <w:r>
        <w:rPr>
          <w:rFonts w:ascii="仿宋_GB2312" w:eastAsia="仿宋_GB2312" w:hint="eastAsia"/>
          <w:sz w:val="32"/>
          <w:szCs w:val="32"/>
        </w:rPr>
        <w:t>指导区委对外宣传办公室（区人民政府新闻办公室）贯彻落实中央和省、市、区对外宣传工作方针政策，做好全区对外宣传、新闻发布相关工作。</w:t>
      </w:r>
    </w:p>
    <w:p w:rsidR="009466C5" w:rsidRDefault="00DA5AAD">
      <w:pPr>
        <w:spacing w:line="560" w:lineRule="exact"/>
        <w:ind w:firstLineChars="200" w:firstLine="640"/>
        <w:rPr>
          <w:rFonts w:ascii="仿宋_GB2312" w:eastAsia="仿宋_GB2312"/>
          <w:color w:val="000000"/>
          <w:sz w:val="32"/>
          <w:szCs w:val="32"/>
        </w:rPr>
      </w:pPr>
      <w:r>
        <w:rPr>
          <w:rFonts w:ascii="楷体_GB2312" w:eastAsia="楷体_GB2312" w:hint="eastAsia"/>
          <w:sz w:val="32"/>
          <w:szCs w:val="32"/>
        </w:rPr>
        <w:t>（三）理论教育科（意识形态工作责任制专项巡察工作办公室）。</w:t>
      </w:r>
      <w:r>
        <w:rPr>
          <w:rFonts w:ascii="仿宋_GB2312" w:eastAsia="仿宋_GB2312" w:hint="eastAsia"/>
          <w:color w:val="000000"/>
          <w:sz w:val="32"/>
          <w:szCs w:val="32"/>
        </w:rPr>
        <w:t>负责指导协调全区理论研究、理论学习、理论宣传、理论教育、理论宣讲和理论队伍建设工作；</w:t>
      </w:r>
      <w:r>
        <w:rPr>
          <w:rFonts w:ascii="仿宋_GB2312" w:eastAsia="仿宋_GB2312" w:hint="eastAsia"/>
          <w:sz w:val="32"/>
          <w:szCs w:val="32"/>
        </w:rPr>
        <w:t>组织编写全区理论教育学习材料；负责区委中心组理论学习及全区各党委（党组）、党工委中心组理论学习的指导、督促与检查工作；</w:t>
      </w:r>
      <w:r>
        <w:rPr>
          <w:rFonts w:ascii="仿宋_GB2312" w:eastAsia="仿宋_GB2312" w:hint="eastAsia"/>
          <w:color w:val="000000"/>
          <w:sz w:val="32"/>
          <w:szCs w:val="32"/>
        </w:rPr>
        <w:t>负责全区社会主义核心价值观建设;开展形势政策教育、理想信念教育和爱国主义教育;配合有关部门开展党员教育和廉政教育工作；</w:t>
      </w:r>
      <w:r>
        <w:rPr>
          <w:rFonts w:ascii="仿宋_GB2312" w:eastAsia="仿宋_GB2312" w:hint="eastAsia"/>
          <w:sz w:val="32"/>
          <w:szCs w:val="32"/>
        </w:rPr>
        <w:t>指导推动全区思想政治工作;</w:t>
      </w:r>
      <w:r>
        <w:rPr>
          <w:rFonts w:ascii="仿宋_GB2312" w:eastAsia="仿宋_GB2312" w:hint="eastAsia"/>
          <w:color w:val="000000"/>
          <w:sz w:val="32"/>
          <w:szCs w:val="32"/>
        </w:rPr>
        <w:t>负责全区思想政治工作研究会日常工作；</w:t>
      </w:r>
      <w:r>
        <w:rPr>
          <w:rFonts w:ascii="仿宋_GB2312" w:eastAsia="仿宋_GB2312" w:hint="eastAsia"/>
          <w:sz w:val="32"/>
          <w:szCs w:val="32"/>
        </w:rPr>
        <w:t>组织、</w:t>
      </w:r>
      <w:r>
        <w:rPr>
          <w:rFonts w:ascii="仿宋_GB2312" w:eastAsia="仿宋_GB2312" w:hint="eastAsia"/>
          <w:sz w:val="32"/>
          <w:szCs w:val="32"/>
        </w:rPr>
        <w:lastRenderedPageBreak/>
        <w:t>协调、指导全区宣传思想文化工作的调查研究；负责统筹协调意识形态工作责任制落实和日常监督检查；结合巡察工作开展专项监察等工作；负责组织协调和指导全区舆情信息工作;监测跟踪、分析</w:t>
      </w:r>
      <w:proofErr w:type="gramStart"/>
      <w:r>
        <w:rPr>
          <w:rFonts w:ascii="仿宋_GB2312" w:eastAsia="仿宋_GB2312" w:hint="eastAsia"/>
          <w:sz w:val="32"/>
          <w:szCs w:val="32"/>
        </w:rPr>
        <w:t>研</w:t>
      </w:r>
      <w:proofErr w:type="gramEnd"/>
      <w:r>
        <w:rPr>
          <w:rFonts w:ascii="仿宋_GB2312" w:eastAsia="仿宋_GB2312" w:hint="eastAsia"/>
          <w:sz w:val="32"/>
          <w:szCs w:val="32"/>
        </w:rPr>
        <w:t>判、研究掌握舆情动态，开展社会舆情动态、社会思想反映方面的信息收集报送工作;对社会舆情和思想理论领域的总体态势进行分析</w:t>
      </w:r>
      <w:proofErr w:type="gramStart"/>
      <w:r>
        <w:rPr>
          <w:rFonts w:ascii="仿宋_GB2312" w:eastAsia="仿宋_GB2312" w:hint="eastAsia"/>
          <w:sz w:val="32"/>
          <w:szCs w:val="32"/>
        </w:rPr>
        <w:t>研</w:t>
      </w:r>
      <w:proofErr w:type="gramEnd"/>
      <w:r>
        <w:rPr>
          <w:rFonts w:ascii="仿宋_GB2312" w:eastAsia="仿宋_GB2312" w:hint="eastAsia"/>
          <w:sz w:val="32"/>
          <w:szCs w:val="32"/>
        </w:rPr>
        <w:t>判，提出工作对策和建议；</w:t>
      </w:r>
      <w:r>
        <w:rPr>
          <w:rFonts w:ascii="仿宋_GB2312" w:eastAsia="仿宋_GB2312" w:hint="eastAsia"/>
          <w:color w:val="000000"/>
          <w:sz w:val="32"/>
          <w:szCs w:val="32"/>
        </w:rPr>
        <w:t>负责全区政工专业技术干部职称的评审工作。</w:t>
      </w:r>
    </w:p>
    <w:p w:rsidR="009466C5" w:rsidRDefault="00DA5AAD">
      <w:pPr>
        <w:snapToGrid w:val="0"/>
        <w:spacing w:line="560" w:lineRule="exact"/>
        <w:ind w:firstLineChars="200" w:firstLine="640"/>
        <w:rPr>
          <w:rFonts w:ascii="仿宋_GB2312" w:eastAsia="仿宋_GB2312"/>
          <w:sz w:val="32"/>
          <w:szCs w:val="32"/>
        </w:rPr>
      </w:pPr>
      <w:r>
        <w:rPr>
          <w:rFonts w:ascii="楷体_GB2312" w:eastAsia="楷体_GB2312" w:hint="eastAsia"/>
          <w:sz w:val="32"/>
          <w:szCs w:val="32"/>
        </w:rPr>
        <w:t>（四）新闻出版和电影管理科（区“扫黄打非”工作领导小组办公室）。</w:t>
      </w:r>
      <w:r>
        <w:rPr>
          <w:rFonts w:ascii="仿宋_GB2312" w:eastAsia="仿宋_GB2312" w:hint="eastAsia"/>
          <w:sz w:val="32"/>
          <w:szCs w:val="32"/>
        </w:rPr>
        <w:t>负责组织起草新闻出版、电影和著作权管理的规范性文件,拟定工作计划并组织实施；承担拟订全区印刷、复制(发行)工作的发展规划和相关监督管理工作;</w:t>
      </w:r>
      <w:r>
        <w:rPr>
          <w:rFonts w:ascii="仿宋_GB2312" w:eastAsia="仿宋_GB2312" w:hint="eastAsia"/>
          <w:color w:val="000000"/>
          <w:sz w:val="32"/>
          <w:szCs w:val="32"/>
        </w:rPr>
        <w:t xml:space="preserve"> 指导协调和配合有关部门开展</w:t>
      </w:r>
      <w:r>
        <w:rPr>
          <w:rFonts w:ascii="仿宋_GB2312" w:eastAsia="仿宋_GB2312" w:hint="eastAsia"/>
          <w:sz w:val="32"/>
          <w:szCs w:val="32"/>
        </w:rPr>
        <w:t>新闻出版(版权)、电影行业行政审批工作;组织指导重要文件文献、重点出版物和内部出版物的印制发行工作;负责出版物发行行业、印刷行业的监督管理工作;负责全区发行网点的建设工作;</w:t>
      </w:r>
      <w:r>
        <w:rPr>
          <w:rFonts w:hint="eastAsia"/>
        </w:rPr>
        <w:t xml:space="preserve"> </w:t>
      </w:r>
      <w:r>
        <w:rPr>
          <w:rFonts w:ascii="仿宋_GB2312" w:eastAsia="仿宋_GB2312" w:hint="eastAsia"/>
          <w:sz w:val="32"/>
          <w:szCs w:val="32"/>
        </w:rPr>
        <w:t>指导“书香之城”工作;根据授权承担国家享有著作权作品的管理和使用工作；配合做好作品的著作权登记、法定许可使用和著作权合同备案进行管理；指导查处著作权领域违法违规行为;负责著作权的涉外工作。负责报刊记者站及其新闻采编活动的监督检查;拟订全区“扫黄打非”行动方案并组织实施，组织指导协调全区出版物市场监管和“扫黄打非”工作，组织协调对非法和违禁出版传播活动案件的查处;承担区“扫黄打非”工作领导小组办公室日常工作。</w:t>
      </w:r>
    </w:p>
    <w:p w:rsidR="009466C5" w:rsidRDefault="00DA5AAD">
      <w:pPr>
        <w:spacing w:line="56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lastRenderedPageBreak/>
        <w:t>（五）精神文明建设科。</w:t>
      </w:r>
      <w:r>
        <w:rPr>
          <w:rFonts w:ascii="仿宋_GB2312" w:eastAsia="仿宋_GB2312" w:hint="eastAsia"/>
          <w:color w:val="000000"/>
          <w:sz w:val="32"/>
          <w:szCs w:val="32"/>
        </w:rPr>
        <w:t>研究制定全区精神文明建设工作的总体规划部署，统筹指导全区精神文明建设工作；负责全区精神文明建设的调查研究和信息反馈工作；负责全区文明城市创建活动的综合协调和资料工作；负责统筹指导全区群众性精神文明创建活动，组织开展文明单位、文明机关、人民满意示范窗口等创建活动；负责全区文明城市创建活动的督查指导及考核工作；负责推进《西安市文明行为促进条例》的实施，组织开展文明交通、文明旅游、文明餐桌等群众性主题实践活动；负责全区“讲文明树新风”公益广告宣传工作；负责统筹推进全区社会主义思想道德建设，组织实施“尚德西安”道德建设工程，弘扬时代新风，培育时代新人，评选表彰道德模范、“身边好人”，组织开展道德讲堂活动；负责全区未成年人思想道德建设工作，组织开展文明校园创建和未成年人思想道德建设系列主题实践活动；指导协调全区志愿服务工作的统筹规划和制度建设;负责培育管理全区各类志愿服务组织和志愿服务项目;负责组织开展</w:t>
      </w:r>
      <w:proofErr w:type="gramStart"/>
      <w:r>
        <w:rPr>
          <w:rFonts w:ascii="仿宋_GB2312" w:eastAsia="仿宋_GB2312" w:hint="eastAsia"/>
          <w:color w:val="000000"/>
          <w:sz w:val="32"/>
          <w:szCs w:val="32"/>
        </w:rPr>
        <w:t>全区学</w:t>
      </w:r>
      <w:proofErr w:type="gramEnd"/>
      <w:r>
        <w:rPr>
          <w:rFonts w:ascii="仿宋_GB2312" w:eastAsia="仿宋_GB2312" w:hint="eastAsia"/>
          <w:color w:val="000000"/>
          <w:sz w:val="32"/>
          <w:szCs w:val="32"/>
        </w:rPr>
        <w:t>雷锋志愿服务活动和各类主题实践活动;负责组织开展“我们的节日”主题活动，弘扬传承中华优秀传统文化;负责全区文明社区、文明家庭创建活动;指导协调全区诚信建设制度化工作。承担区委文明办日常工作。</w:t>
      </w:r>
    </w:p>
    <w:p w:rsidR="009466C5" w:rsidRDefault="00DA5AAD">
      <w:pPr>
        <w:shd w:val="solid" w:color="FFFFFF" w:fill="auto"/>
        <w:autoSpaceDN w:val="0"/>
        <w:spacing w:line="560" w:lineRule="exact"/>
        <w:ind w:firstLineChars="200" w:firstLine="640"/>
        <w:jc w:val="left"/>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二、</w:t>
      </w:r>
      <w:r w:rsidRPr="00931140">
        <w:rPr>
          <w:rFonts w:ascii="黑体" w:eastAsia="黑体" w:hAnsi="黑体" w:cs="黑体" w:hint="eastAsia"/>
          <w:color w:val="2B2B2B"/>
          <w:sz w:val="30"/>
          <w:szCs w:val="30"/>
          <w:shd w:val="clear" w:color="auto" w:fill="FFFFFF"/>
        </w:rPr>
        <w:t>2020年年度部门主要工作任务</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Pr>
          <w:rFonts w:hint="eastAsia"/>
        </w:rPr>
        <w:t xml:space="preserve"> </w:t>
      </w:r>
      <w:r>
        <w:rPr>
          <w:rFonts w:ascii="仿宋_GB2312" w:eastAsia="仿宋_GB2312" w:hint="eastAsia"/>
          <w:sz w:val="32"/>
          <w:szCs w:val="32"/>
        </w:rPr>
        <w:t>深入学习宣传贯彻习近平新时代中国特色社会主义思想和党的十八大以来历届全会精神、习近平总书记系列重要讲</w:t>
      </w:r>
      <w:r>
        <w:rPr>
          <w:rFonts w:ascii="仿宋_GB2312" w:eastAsia="仿宋_GB2312" w:hint="eastAsia"/>
          <w:sz w:val="32"/>
          <w:szCs w:val="32"/>
        </w:rPr>
        <w:lastRenderedPageBreak/>
        <w:t>话精神。做好区委中心组理论学习及全区各党委（党组）、党工委中心组学习督查工作。围绕莲湖经济社会发展大局，结合工作需要，全年组织开展5-6场专题辅导报告会。围绕党的新思想、新理论积极开展理论宣讲以及群众宣讲活动。</w:t>
      </w:r>
      <w:r>
        <w:rPr>
          <w:rFonts w:ascii="仿宋_GB2312" w:eastAsia="仿宋_GB2312"/>
          <w:sz w:val="32"/>
          <w:szCs w:val="32"/>
        </w:rPr>
        <w:cr/>
      </w:r>
      <w:r>
        <w:rPr>
          <w:rFonts w:ascii="仿宋_GB2312" w:eastAsia="仿宋_GB2312" w:hint="eastAsia"/>
          <w:sz w:val="32"/>
          <w:szCs w:val="32"/>
        </w:rPr>
        <w:t xml:space="preserve">    （二）贯彻落实中央《党委（党组）意识形态工作责任制实施办法》健全完善分析</w:t>
      </w:r>
      <w:proofErr w:type="gramStart"/>
      <w:r>
        <w:rPr>
          <w:rFonts w:ascii="仿宋_GB2312" w:eastAsia="仿宋_GB2312" w:hint="eastAsia"/>
          <w:sz w:val="32"/>
          <w:szCs w:val="32"/>
        </w:rPr>
        <w:t>研</w:t>
      </w:r>
      <w:proofErr w:type="gramEnd"/>
      <w:r>
        <w:rPr>
          <w:rFonts w:ascii="仿宋_GB2312" w:eastAsia="仿宋_GB2312" w:hint="eastAsia"/>
          <w:sz w:val="32"/>
          <w:szCs w:val="32"/>
        </w:rPr>
        <w:t>判、考核评价、自查督查等工作制度，定期分析</w:t>
      </w:r>
      <w:proofErr w:type="gramStart"/>
      <w:r>
        <w:rPr>
          <w:rFonts w:ascii="仿宋_GB2312" w:eastAsia="仿宋_GB2312" w:hint="eastAsia"/>
          <w:sz w:val="32"/>
          <w:szCs w:val="32"/>
        </w:rPr>
        <w:t>研</w:t>
      </w:r>
      <w:proofErr w:type="gramEnd"/>
      <w:r>
        <w:rPr>
          <w:rFonts w:ascii="仿宋_GB2312" w:eastAsia="仿宋_GB2312" w:hint="eastAsia"/>
          <w:sz w:val="32"/>
          <w:szCs w:val="32"/>
        </w:rPr>
        <w:t>判意识形态领域情况。加强对各类意识形态阵地的管理，切实维护网络意识形态安全。</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（三）围绕全区中心工作以及中、省、市及全区重要会议精神的学习宣传和贯彻落实情况，开展宣传报道。大力宣传区委、区政府协调推进区域发展中的新思路、新举措，深入挖掘莲</w:t>
      </w:r>
      <w:proofErr w:type="gramStart"/>
      <w:r>
        <w:rPr>
          <w:rFonts w:ascii="仿宋_GB2312" w:eastAsia="仿宋_GB2312" w:hint="eastAsia"/>
          <w:sz w:val="32"/>
          <w:szCs w:val="32"/>
        </w:rPr>
        <w:t>湖各项</w:t>
      </w:r>
      <w:proofErr w:type="gramEnd"/>
      <w:r>
        <w:rPr>
          <w:rFonts w:ascii="仿宋_GB2312" w:eastAsia="仿宋_GB2312" w:hint="eastAsia"/>
          <w:sz w:val="32"/>
          <w:szCs w:val="32"/>
        </w:rPr>
        <w:t>工作的新亮点、新经验，充分利用媒体平台发出莲湖声音、讲好莲湖故事。加强与中省市媒体的沟通与联系，利用主流舆论阵地，牢牢把握正确舆论导向，做好热点问题舆论引导。进一步加强新闻发布制度建设，完善和规范新闻发布的具体要求和相关流程，夯实主体责任。</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（四）做好宣传部政务新媒体的更新、维护、管理工作。贯彻落实中央和省、市、区对外宣传工作方针政策，协调做好全区对外宣传工作。</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（五）坚持以社会主义核心价值体系为根本，推进公民道德建设，抓好社会主义核心价值观示范社区、示范单位创建工作。巩固全国文明城市创建成果，深化群众性精神文明创建和志愿者</w:t>
      </w:r>
      <w:r>
        <w:rPr>
          <w:rFonts w:ascii="仿宋_GB2312" w:eastAsia="仿宋_GB2312" w:hint="eastAsia"/>
          <w:sz w:val="32"/>
          <w:szCs w:val="32"/>
        </w:rPr>
        <w:lastRenderedPageBreak/>
        <w:t>服务活动，不断提升市民文明素质和城区整体文明化程度。重视和加强未成年人思想道德建设。</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（六）实施“文化</w:t>
      </w:r>
      <w:r>
        <w:rPr>
          <w:rFonts w:ascii="仿宋_GB2312" w:eastAsia="仿宋_GB2312"/>
          <w:sz w:val="32"/>
          <w:szCs w:val="32"/>
        </w:rPr>
        <w:t>+</w:t>
      </w:r>
      <w:r>
        <w:rPr>
          <w:rFonts w:ascii="仿宋_GB2312" w:eastAsia="仿宋_GB2312" w:hint="eastAsia"/>
          <w:sz w:val="32"/>
          <w:szCs w:val="32"/>
        </w:rPr>
        <w:t>”战略，促进文化产业与旅游、科技、金融等相关产业深度融合。推进文化产业项目、园区、基地建设，积极培育文化企业做大、做强，补齐文化产业短板。加快实施《莲湖区补齐短板加快文化产业发展实施方案》和《莲湖区文化产业倍增计划》，落实好《莲湖区落实〈关于补短板加快西安文化产业发展若干政策〉的配套政策》，加大对文化企业的支持扶持力度。</w:t>
      </w:r>
    </w:p>
    <w:p w:rsidR="009466C5" w:rsidRDefault="00DA5AAD">
      <w:pPr>
        <w:shd w:val="solid" w:color="FFFFFF" w:fill="auto"/>
        <w:autoSpaceDN w:val="0"/>
        <w:spacing w:line="560" w:lineRule="exact"/>
        <w:ind w:firstLineChars="200" w:firstLine="640"/>
        <w:jc w:val="left"/>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三、</w:t>
      </w:r>
      <w:r w:rsidRPr="00931140">
        <w:rPr>
          <w:rFonts w:ascii="黑体" w:eastAsia="黑体" w:hAnsi="黑体" w:cs="黑体" w:hint="eastAsia"/>
          <w:color w:val="2B2B2B"/>
          <w:sz w:val="30"/>
          <w:szCs w:val="30"/>
          <w:shd w:val="clear" w:color="auto" w:fill="FFFFFF"/>
        </w:rPr>
        <w:t>部门预算单位构成</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从预算单位构成看，本部门的部门预算包括部门本级预算，无所属基层预算单位。</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纳入本部门2020年部门预算编制范围的二级预算单位共有0个：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71"/>
        <w:gridCol w:w="5652"/>
        <w:gridCol w:w="2337"/>
      </w:tblGrid>
      <w:tr w:rsidR="009466C5">
        <w:tc>
          <w:tcPr>
            <w:tcW w:w="1071" w:type="dxa"/>
            <w:vAlign w:val="center"/>
          </w:tcPr>
          <w:p w:rsidR="009466C5" w:rsidRDefault="00DA5AAD">
            <w:pPr>
              <w:spacing w:line="560" w:lineRule="exact"/>
              <w:jc w:val="center"/>
              <w:rPr>
                <w:rFonts w:ascii="仿宋_GB2312" w:eastAsia="仿宋_GB2312"/>
                <w:sz w:val="32"/>
                <w:szCs w:val="32"/>
              </w:rPr>
            </w:pPr>
            <w:r>
              <w:rPr>
                <w:rFonts w:ascii="仿宋_GB2312" w:eastAsia="仿宋_GB2312" w:hint="eastAsia"/>
                <w:sz w:val="32"/>
                <w:szCs w:val="32"/>
              </w:rPr>
              <w:t>序号</w:t>
            </w:r>
          </w:p>
        </w:tc>
        <w:tc>
          <w:tcPr>
            <w:tcW w:w="5652" w:type="dxa"/>
            <w:vAlign w:val="center"/>
          </w:tcPr>
          <w:p w:rsidR="009466C5" w:rsidRDefault="00DA5AAD">
            <w:pPr>
              <w:spacing w:line="560" w:lineRule="exact"/>
              <w:jc w:val="center"/>
              <w:rPr>
                <w:rFonts w:ascii="仿宋_GB2312" w:eastAsia="仿宋_GB2312"/>
                <w:sz w:val="32"/>
                <w:szCs w:val="32"/>
              </w:rPr>
            </w:pPr>
            <w:r>
              <w:rPr>
                <w:rFonts w:ascii="仿宋_GB2312" w:eastAsia="仿宋_GB2312" w:hint="eastAsia"/>
                <w:sz w:val="32"/>
                <w:szCs w:val="32"/>
              </w:rPr>
              <w:t>单位名称</w:t>
            </w:r>
          </w:p>
        </w:tc>
        <w:tc>
          <w:tcPr>
            <w:tcW w:w="2337" w:type="dxa"/>
            <w:vAlign w:val="center"/>
          </w:tcPr>
          <w:p w:rsidR="009466C5" w:rsidRDefault="00DA5AAD">
            <w:pPr>
              <w:spacing w:line="560" w:lineRule="exact"/>
              <w:jc w:val="center"/>
              <w:rPr>
                <w:rFonts w:ascii="仿宋_GB2312" w:eastAsia="仿宋_GB2312"/>
                <w:sz w:val="32"/>
                <w:szCs w:val="32"/>
              </w:rPr>
            </w:pPr>
            <w:r>
              <w:rPr>
                <w:rFonts w:ascii="仿宋_GB2312" w:eastAsia="仿宋_GB2312" w:hint="eastAsia"/>
                <w:sz w:val="32"/>
                <w:szCs w:val="32"/>
              </w:rPr>
              <w:t>拟变动情况</w:t>
            </w:r>
          </w:p>
        </w:tc>
      </w:tr>
      <w:tr w:rsidR="009466C5">
        <w:tc>
          <w:tcPr>
            <w:tcW w:w="1071" w:type="dxa"/>
            <w:vAlign w:val="center"/>
          </w:tcPr>
          <w:p w:rsidR="009466C5" w:rsidRDefault="00DA5AAD">
            <w:pPr>
              <w:spacing w:line="560" w:lineRule="exact"/>
              <w:jc w:val="center"/>
              <w:rPr>
                <w:rFonts w:ascii="仿宋_GB2312" w:eastAsia="仿宋_GB2312"/>
                <w:sz w:val="32"/>
                <w:szCs w:val="32"/>
              </w:rPr>
            </w:pPr>
            <w:r>
              <w:rPr>
                <w:rFonts w:ascii="仿宋_GB2312" w:eastAsia="仿宋_GB2312" w:hint="eastAsia"/>
                <w:sz w:val="32"/>
                <w:szCs w:val="32"/>
              </w:rPr>
              <w:t>1</w:t>
            </w:r>
          </w:p>
        </w:tc>
        <w:tc>
          <w:tcPr>
            <w:tcW w:w="5652" w:type="dxa"/>
            <w:vAlign w:val="center"/>
          </w:tcPr>
          <w:p w:rsidR="009466C5" w:rsidRDefault="00DA5AAD">
            <w:pPr>
              <w:spacing w:line="560" w:lineRule="exact"/>
              <w:jc w:val="center"/>
              <w:rPr>
                <w:rFonts w:ascii="仿宋_GB2312" w:eastAsia="仿宋_GB2312"/>
                <w:sz w:val="32"/>
                <w:szCs w:val="32"/>
              </w:rPr>
            </w:pPr>
            <w:r>
              <w:rPr>
                <w:rFonts w:ascii="仿宋_GB2312" w:eastAsia="仿宋_GB2312" w:hAnsi="仿宋_GB2312" w:cs="仿宋_GB2312" w:hint="eastAsia"/>
                <w:color w:val="2B2B2B"/>
                <w:sz w:val="32"/>
                <w:szCs w:val="32"/>
                <w:shd w:val="clear" w:color="auto" w:fill="FFFFFF"/>
              </w:rPr>
              <w:t>中共西安市莲湖区委员会宣传部本级</w:t>
            </w:r>
          </w:p>
        </w:tc>
        <w:tc>
          <w:tcPr>
            <w:tcW w:w="2337" w:type="dxa"/>
            <w:vAlign w:val="center"/>
          </w:tcPr>
          <w:p w:rsidR="009466C5" w:rsidRDefault="00DA5AAD">
            <w:pPr>
              <w:spacing w:line="560" w:lineRule="exact"/>
              <w:jc w:val="center"/>
              <w:rPr>
                <w:rFonts w:ascii="仿宋_GB2312" w:eastAsia="仿宋_GB2312"/>
                <w:sz w:val="32"/>
                <w:szCs w:val="32"/>
              </w:rPr>
            </w:pPr>
            <w:r>
              <w:rPr>
                <w:rFonts w:ascii="仿宋_GB2312" w:eastAsia="仿宋_GB2312" w:hint="eastAsia"/>
                <w:sz w:val="32"/>
                <w:szCs w:val="32"/>
              </w:rPr>
              <w:t>无</w:t>
            </w:r>
          </w:p>
        </w:tc>
      </w:tr>
    </w:tbl>
    <w:p w:rsidR="009466C5" w:rsidRDefault="009466C5">
      <w:pPr>
        <w:spacing w:line="560" w:lineRule="exact"/>
        <w:ind w:firstLineChars="200" w:firstLine="640"/>
        <w:rPr>
          <w:rFonts w:ascii="仿宋_GB2312" w:eastAsia="仿宋_GB2312"/>
          <w:sz w:val="32"/>
          <w:szCs w:val="32"/>
        </w:rPr>
      </w:pPr>
    </w:p>
    <w:p w:rsidR="009466C5" w:rsidRDefault="00DA5AAD">
      <w:pPr>
        <w:spacing w:line="560" w:lineRule="exact"/>
        <w:ind w:firstLineChars="200" w:firstLine="640"/>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四、</w:t>
      </w:r>
      <w:r w:rsidRPr="00931140">
        <w:rPr>
          <w:rFonts w:ascii="黑体" w:eastAsia="黑体" w:hAnsi="黑体" w:cs="黑体" w:hint="eastAsia"/>
          <w:color w:val="2B2B2B"/>
          <w:sz w:val="30"/>
          <w:szCs w:val="30"/>
          <w:shd w:val="clear" w:color="auto" w:fill="FFFFFF"/>
        </w:rPr>
        <w:t>部门人员情况说明</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2019年底本部门人员编制21人，其中行政编制13人、事业编制8人；实有人员21人，其中行政11人、事业10人。单</w:t>
      </w:r>
    </w:p>
    <w:p w:rsidR="009466C5" w:rsidRDefault="00DA5AAD" w:rsidP="001E3972">
      <w:pPr>
        <w:spacing w:line="560" w:lineRule="exact"/>
        <w:rPr>
          <w:rFonts w:ascii="仿宋_GB2312" w:eastAsia="仿宋_GB2312"/>
          <w:sz w:val="32"/>
          <w:szCs w:val="32"/>
        </w:rPr>
      </w:pPr>
      <w:r>
        <w:rPr>
          <w:rFonts w:ascii="仿宋_GB2312" w:eastAsia="仿宋_GB2312" w:hint="eastAsia"/>
          <w:sz w:val="32"/>
          <w:szCs w:val="32"/>
        </w:rPr>
        <w:t>位管理的退休人员5人。</w:t>
      </w:r>
    </w:p>
    <w:p w:rsidR="009466C5" w:rsidRDefault="009466C5">
      <w:pPr>
        <w:tabs>
          <w:tab w:val="left" w:pos="3653"/>
        </w:tabs>
        <w:spacing w:line="560" w:lineRule="exact"/>
        <w:rPr>
          <w:rFonts w:ascii="仿宋_GB2312" w:eastAsia="仿宋_GB2312"/>
          <w:sz w:val="32"/>
          <w:szCs w:val="32"/>
        </w:rPr>
      </w:pPr>
    </w:p>
    <w:p w:rsidR="009466C5" w:rsidRDefault="00B13FE3">
      <w:pPr>
        <w:spacing w:line="560" w:lineRule="exact"/>
        <w:ind w:firstLineChars="200" w:firstLine="640"/>
        <w:rPr>
          <w:rFonts w:ascii="仿宋_GB2312" w:eastAsia="仿宋_GB2312"/>
          <w:sz w:val="32"/>
          <w:szCs w:val="32"/>
        </w:rPr>
      </w:pPr>
      <w:r>
        <w:rPr>
          <w:rFonts w:ascii="仿宋_GB2312" w:eastAsia="仿宋_GB2312"/>
          <w:noProof/>
          <w:sz w:val="32"/>
          <w:szCs w:val="32"/>
        </w:rPr>
        <w:lastRenderedPageBreak/>
        <w:drawing>
          <wp:anchor distT="0" distB="0" distL="114300" distR="114300" simplePos="0" relativeHeight="251657728" behindDoc="0" locked="0" layoutInCell="1" allowOverlap="1">
            <wp:simplePos x="0" y="0"/>
            <wp:positionH relativeFrom="column">
              <wp:posOffset>1096645</wp:posOffset>
            </wp:positionH>
            <wp:positionV relativeFrom="paragraph">
              <wp:posOffset>-36830</wp:posOffset>
            </wp:positionV>
            <wp:extent cx="4067175" cy="2495550"/>
            <wp:effectExtent l="1270" t="1270" r="0" b="0"/>
            <wp:wrapSquare wrapText="right"/>
            <wp:docPr id="4" name="对象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rsidR="009466C5" w:rsidRDefault="009466C5">
      <w:pPr>
        <w:spacing w:line="560" w:lineRule="exact"/>
        <w:ind w:firstLineChars="200" w:firstLine="640"/>
        <w:rPr>
          <w:rFonts w:ascii="仿宋_GB2312" w:eastAsia="仿宋_GB2312"/>
          <w:sz w:val="32"/>
          <w:szCs w:val="32"/>
        </w:rPr>
      </w:pPr>
    </w:p>
    <w:p w:rsidR="009466C5" w:rsidRDefault="009466C5">
      <w:pPr>
        <w:spacing w:line="560" w:lineRule="exact"/>
        <w:ind w:firstLineChars="200" w:firstLine="640"/>
        <w:rPr>
          <w:rFonts w:ascii="仿宋_GB2312" w:eastAsia="仿宋_GB2312"/>
          <w:sz w:val="32"/>
          <w:szCs w:val="32"/>
        </w:rPr>
      </w:pPr>
    </w:p>
    <w:p w:rsidR="009466C5" w:rsidRDefault="009466C5">
      <w:pPr>
        <w:spacing w:line="560" w:lineRule="exact"/>
        <w:ind w:firstLineChars="200" w:firstLine="640"/>
        <w:rPr>
          <w:rFonts w:ascii="仿宋_GB2312" w:eastAsia="仿宋_GB2312"/>
          <w:sz w:val="32"/>
          <w:szCs w:val="32"/>
        </w:rPr>
      </w:pPr>
    </w:p>
    <w:p w:rsidR="009466C5" w:rsidRDefault="009466C5">
      <w:pPr>
        <w:spacing w:line="560" w:lineRule="exact"/>
        <w:ind w:firstLineChars="200" w:firstLine="640"/>
        <w:rPr>
          <w:rFonts w:ascii="仿宋_GB2312" w:eastAsia="仿宋_GB2312"/>
          <w:sz w:val="32"/>
          <w:szCs w:val="32"/>
        </w:rPr>
      </w:pPr>
    </w:p>
    <w:p w:rsidR="009466C5" w:rsidRDefault="009466C5">
      <w:pPr>
        <w:spacing w:line="560" w:lineRule="exact"/>
        <w:ind w:firstLineChars="200" w:firstLine="640"/>
        <w:rPr>
          <w:rFonts w:ascii="仿宋_GB2312" w:eastAsia="仿宋_GB2312"/>
          <w:sz w:val="32"/>
          <w:szCs w:val="32"/>
        </w:rPr>
      </w:pPr>
    </w:p>
    <w:p w:rsidR="009466C5" w:rsidRDefault="009466C5">
      <w:pPr>
        <w:spacing w:line="560" w:lineRule="exact"/>
        <w:rPr>
          <w:rFonts w:ascii="仿宋_GB2312" w:eastAsia="仿宋_GB2312"/>
          <w:sz w:val="32"/>
          <w:szCs w:val="32"/>
        </w:rPr>
      </w:pPr>
    </w:p>
    <w:p w:rsidR="009466C5" w:rsidRDefault="00DA5AAD">
      <w:pPr>
        <w:numPr>
          <w:ilvl w:val="0"/>
          <w:numId w:val="3"/>
        </w:numPr>
        <w:spacing w:line="560" w:lineRule="exact"/>
        <w:ind w:firstLineChars="200" w:firstLine="640"/>
        <w:jc w:val="center"/>
        <w:rPr>
          <w:rFonts w:ascii="黑体" w:eastAsia="黑体" w:hAnsi="黑体" w:cs="黑体"/>
          <w:sz w:val="32"/>
          <w:szCs w:val="32"/>
        </w:rPr>
      </w:pPr>
      <w:r>
        <w:rPr>
          <w:rFonts w:ascii="黑体" w:eastAsia="黑体" w:hAnsi="黑体" w:cs="黑体" w:hint="eastAsia"/>
          <w:sz w:val="32"/>
          <w:szCs w:val="32"/>
        </w:rPr>
        <w:t>收支情况</w:t>
      </w:r>
    </w:p>
    <w:p w:rsidR="009466C5" w:rsidRDefault="00DA5AAD">
      <w:pPr>
        <w:shd w:val="solid" w:color="FFFFFF" w:fill="auto"/>
        <w:autoSpaceDN w:val="0"/>
        <w:spacing w:line="560" w:lineRule="exact"/>
        <w:ind w:firstLineChars="200" w:firstLine="640"/>
        <w:jc w:val="left"/>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五、</w:t>
      </w:r>
      <w:r w:rsidRPr="00931140">
        <w:rPr>
          <w:rFonts w:ascii="黑体" w:eastAsia="黑体" w:hAnsi="黑体" w:cs="黑体" w:hint="eastAsia"/>
          <w:color w:val="2B2B2B"/>
          <w:sz w:val="30"/>
          <w:szCs w:val="30"/>
          <w:shd w:val="clear" w:color="auto" w:fill="FFFFFF"/>
        </w:rPr>
        <w:t>2020年部门预算收支说明</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（一）收支预算总体情况</w:t>
      </w:r>
    </w:p>
    <w:p w:rsidR="009466C5" w:rsidRDefault="00DA5AAD">
      <w:pPr>
        <w:spacing w:line="560" w:lineRule="exact"/>
        <w:ind w:firstLineChars="200" w:firstLine="640"/>
        <w:rPr>
          <w:rFonts w:ascii="仿宋_GB2312" w:eastAsia="仿宋_GB2312"/>
          <w:color w:val="FF0000"/>
          <w:sz w:val="32"/>
          <w:szCs w:val="32"/>
        </w:rPr>
      </w:pPr>
      <w:r>
        <w:rPr>
          <w:rFonts w:ascii="仿宋_GB2312" w:eastAsia="仿宋_GB2312" w:hint="eastAsia"/>
          <w:sz w:val="32"/>
          <w:szCs w:val="32"/>
        </w:rPr>
        <w:t>按照综合预算的原则，本部门所有收入和支出均纳入部门预算管理。2020年本部门预算收入696.97万元，其中一般公共预算拨款收入696.97万元，2020年本部门预算收入较上年增加33.05万元，主要原因是人员经费、公用经费支出收入增加和专项业务经费增加；2020年本部门预算支出696.97万元，其中一般公共预算拨款支出696.97万元，2020年本部门预算支出较上年增加33.05万元，主要原因是人员经费、公用经费支出增加和专项业务经费支出增加。</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（二）财政拨款收支情况</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2020年本部门财政拨款收入696.97万元，其中一般公共预算拨款收入696.97万元，2020年本部门财政拨款收入较上年增加33.05万元，主要原因是人员经费、公用经费支出收入增加和</w:t>
      </w:r>
      <w:r>
        <w:rPr>
          <w:rFonts w:ascii="仿宋_GB2312" w:eastAsia="仿宋_GB2312" w:hint="eastAsia"/>
          <w:sz w:val="32"/>
          <w:szCs w:val="32"/>
        </w:rPr>
        <w:lastRenderedPageBreak/>
        <w:t>专项业务经费支出收入增加。；2020年本部门财政拨款支出696.97万元，其中一般公共预算拨款支出696.97万元，2020年本部门财政拨款支出较上年增加33.05万元，主要原因是人员经费、公用经费支出增加和专项业务经费支出增加。</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（三）一般公共预算拨款支出明细情况</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1.一般公共预算当年拨款规模变化情况</w:t>
      </w:r>
    </w:p>
    <w:p w:rsidR="009466C5" w:rsidRDefault="00DA5AAD">
      <w:pPr>
        <w:spacing w:line="560" w:lineRule="exact"/>
        <w:ind w:firstLineChars="200" w:firstLine="640"/>
        <w:rPr>
          <w:rFonts w:ascii="仿宋_GB2312" w:eastAsia="仿宋_GB2312"/>
          <w:color w:val="FF0000"/>
          <w:sz w:val="32"/>
          <w:szCs w:val="32"/>
        </w:rPr>
      </w:pPr>
      <w:r>
        <w:rPr>
          <w:rFonts w:ascii="仿宋_GB2312" w:eastAsia="仿宋_GB2312" w:hint="eastAsia"/>
          <w:sz w:val="32"/>
          <w:szCs w:val="32"/>
        </w:rPr>
        <w:t>2020年本部门当年一般公共预算拨款支出696.97万元，较上年增长33.05万元，主要原因是人员经费、公用经费支出增加和项目经费支出增加。</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2.支出按功能科目分类的明细情况</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本部门2020年当年一般公共预算支出696.97万元，其中：</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（1）行政运行（2013301）240.97万元，较上年增加44.65万元，原因是人员经费、公用经费支出增加。</w:t>
      </w:r>
    </w:p>
    <w:p w:rsidR="009466C5" w:rsidRDefault="00DA5AAD">
      <w:pPr>
        <w:numPr>
          <w:ilvl w:val="0"/>
          <w:numId w:val="4"/>
        </w:numPr>
        <w:spacing w:line="560" w:lineRule="exact"/>
        <w:ind w:firstLineChars="200" w:firstLine="640"/>
        <w:rPr>
          <w:rFonts w:ascii="仿宋_GB2312" w:eastAsia="仿宋_GB2312"/>
          <w:sz w:val="32"/>
          <w:szCs w:val="32"/>
        </w:rPr>
      </w:pPr>
      <w:r>
        <w:rPr>
          <w:rFonts w:ascii="仿宋_GB2312" w:eastAsia="仿宋_GB2312" w:hint="eastAsia"/>
          <w:sz w:val="32"/>
          <w:szCs w:val="32"/>
        </w:rPr>
        <w:t>一般行政管理事务（2013302）222.00万元，较上年减少245万元，原因是减少的经费在2020年其他宣传事务中列示。</w:t>
      </w:r>
    </w:p>
    <w:p w:rsidR="009466C5" w:rsidRDefault="00DA5AAD">
      <w:pPr>
        <w:numPr>
          <w:ilvl w:val="0"/>
          <w:numId w:val="4"/>
        </w:numPr>
        <w:spacing w:line="560" w:lineRule="exact"/>
        <w:ind w:firstLineChars="200" w:firstLine="640"/>
        <w:rPr>
          <w:rFonts w:ascii="仿宋_GB2312" w:eastAsia="仿宋_GB2312"/>
          <w:sz w:val="32"/>
          <w:szCs w:val="32"/>
        </w:rPr>
      </w:pPr>
      <w:r>
        <w:rPr>
          <w:rFonts w:ascii="仿宋_GB2312" w:eastAsia="仿宋_GB2312" w:hint="eastAsia"/>
          <w:sz w:val="32"/>
          <w:szCs w:val="32"/>
        </w:rPr>
        <w:t>其他宣传事务支出（2013399）234.00万元，较上年增加234万元，原因是增加的经费在2019年一般行政管理事务中列示。</w:t>
      </w:r>
    </w:p>
    <w:p w:rsidR="009466C5" w:rsidRDefault="00DA5AAD">
      <w:pPr>
        <w:tabs>
          <w:tab w:val="left" w:pos="507"/>
        </w:tabs>
        <w:spacing w:line="560" w:lineRule="exact"/>
        <w:ind w:firstLineChars="200" w:firstLine="640"/>
        <w:rPr>
          <w:rFonts w:ascii="仿宋_GB2312" w:eastAsia="仿宋_GB2312"/>
          <w:sz w:val="32"/>
          <w:szCs w:val="32"/>
        </w:rPr>
      </w:pPr>
      <w:r>
        <w:rPr>
          <w:rFonts w:ascii="仿宋_GB2312" w:eastAsia="仿宋_GB2312" w:hint="eastAsia"/>
          <w:sz w:val="32"/>
          <w:szCs w:val="32"/>
        </w:rPr>
        <w:t>3.支出按经济分类的明细情况</w:t>
      </w:r>
    </w:p>
    <w:p w:rsidR="009466C5" w:rsidRDefault="00DA5AAD">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（1）2020年本部门当年一般公共预算支出696.97万元，其中：</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工资福利支出（301）210.87万元，较上年增加41.39万元，原因是工资奖金津补贴和社会保障缴费增加。</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商品和服务支出（302）485.23万元，较上年减少6.75万元，原因是办公经费和其他商品和服务支出减少。</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对个人和家庭的补助支出（303）0.87万元，较上年减少0.98万元，原因是离退休费减少。</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（2）2020年本部门当年一般公共预算支出696.97万元，其中：</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机关工资福利支出（501）210.87万元，较上年增加41.39万元，原因是工资奖金津补贴和社会保障缴费增加。</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机关商品和服务支出（502）485.23万元，较上年减少6.75万元，原因是办公经费和其他商品和服务支出减少。</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对个人和家庭的补助支出（509）0.87万元，较上年减少0.98万元，原因是离退休费减少。</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4.2020年结转财政资金一般公共预算拨款支出情况。</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本部门无2019年结转的一般公共预算拨款资金支出。</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（四）政府性基金预算支出情况</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本部门无当年政府性基金预算收支，并已公开空表。本部门无2019年结转的政府性基金预算拨款支出。</w:t>
      </w:r>
    </w:p>
    <w:p w:rsidR="009466C5" w:rsidRDefault="00DA5AAD">
      <w:pPr>
        <w:numPr>
          <w:ilvl w:val="0"/>
          <w:numId w:val="5"/>
        </w:numPr>
        <w:spacing w:line="560" w:lineRule="exact"/>
        <w:ind w:firstLineChars="200" w:firstLine="640"/>
        <w:rPr>
          <w:rFonts w:ascii="仿宋_GB2312" w:eastAsia="仿宋_GB2312"/>
          <w:sz w:val="32"/>
          <w:szCs w:val="32"/>
        </w:rPr>
      </w:pPr>
      <w:r>
        <w:rPr>
          <w:rFonts w:ascii="仿宋_GB2312" w:eastAsia="仿宋_GB2312" w:hint="eastAsia"/>
          <w:sz w:val="32"/>
          <w:szCs w:val="32"/>
        </w:rPr>
        <w:t>国有资本经营预算拨款收支情况</w:t>
      </w:r>
    </w:p>
    <w:p w:rsidR="009466C5" w:rsidRDefault="00DA5AAD">
      <w:pPr>
        <w:spacing w:line="560" w:lineRule="exact"/>
        <w:ind w:firstLineChars="200" w:firstLine="640"/>
        <w:rPr>
          <w:rFonts w:ascii="仿宋_GB2312" w:eastAsia="仿宋_GB2312"/>
          <w:sz w:val="32"/>
          <w:szCs w:val="32"/>
        </w:rPr>
      </w:pPr>
      <w:r>
        <w:rPr>
          <w:rFonts w:ascii="仿宋_GB2312" w:eastAsia="仿宋_GB2312" w:hint="eastAsia"/>
          <w:sz w:val="32"/>
          <w:szCs w:val="32"/>
        </w:rPr>
        <w:t>本部门无当年国有资产经营预算拨款收支，并在财政拨款收支总体情况表中列示。本部门无2019年结转的国有资本经营预</w:t>
      </w:r>
      <w:r>
        <w:rPr>
          <w:rFonts w:ascii="仿宋_GB2312" w:eastAsia="仿宋_GB2312" w:hint="eastAsia"/>
          <w:sz w:val="32"/>
          <w:szCs w:val="32"/>
        </w:rPr>
        <w:lastRenderedPageBreak/>
        <w:t>算拨款支出。</w:t>
      </w:r>
    </w:p>
    <w:p w:rsidR="009466C5" w:rsidRDefault="00DA5AAD">
      <w:pPr>
        <w:spacing w:line="560" w:lineRule="exact"/>
        <w:ind w:firstLineChars="200" w:firstLine="640"/>
        <w:jc w:val="center"/>
        <w:rPr>
          <w:rFonts w:ascii="黑体" w:eastAsia="黑体" w:hAnsi="黑体" w:cs="黑体"/>
          <w:sz w:val="32"/>
          <w:szCs w:val="32"/>
        </w:rPr>
      </w:pPr>
      <w:r>
        <w:rPr>
          <w:rFonts w:ascii="黑体" w:eastAsia="黑体" w:hAnsi="黑体" w:cs="黑体" w:hint="eastAsia"/>
          <w:sz w:val="32"/>
          <w:szCs w:val="32"/>
        </w:rPr>
        <w:t>第三部分  其他说明情况</w:t>
      </w:r>
    </w:p>
    <w:p w:rsidR="009466C5" w:rsidRDefault="00DA5AAD">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六、部门预算“三公”经费等预算情况说明</w:t>
      </w:r>
    </w:p>
    <w:p w:rsidR="007A6462" w:rsidRPr="00662027" w:rsidRDefault="007A6462" w:rsidP="00662027">
      <w:pPr>
        <w:shd w:val="solid" w:color="FFFFFF" w:fill="auto"/>
        <w:autoSpaceDN w:val="0"/>
        <w:spacing w:line="560" w:lineRule="exact"/>
        <w:ind w:firstLineChars="150" w:firstLine="480"/>
        <w:jc w:val="left"/>
        <w:rPr>
          <w:rFonts w:ascii="仿宋_GB2312" w:eastAsia="仿宋_GB2312" w:hAnsi="仿宋_GB2312" w:cs="仿宋_GB2312"/>
          <w:color w:val="2B2B2B"/>
          <w:sz w:val="32"/>
          <w:szCs w:val="32"/>
          <w:shd w:val="clear" w:color="auto" w:fill="FFFFFF"/>
        </w:rPr>
      </w:pPr>
      <w:r w:rsidRPr="007A6462">
        <w:rPr>
          <w:rFonts w:ascii="仿宋_GB2312" w:eastAsia="仿宋_GB2312" w:hAnsi="仿宋_GB2312" w:cs="仿宋_GB2312" w:hint="eastAsia"/>
          <w:color w:val="2B2B2B"/>
          <w:sz w:val="32"/>
          <w:szCs w:val="32"/>
          <w:shd w:val="clear" w:color="auto" w:fill="FFFFFF"/>
        </w:rPr>
        <w:t>2020年本部门当年一般公共预算“三公”经费预算支出1.38万元，较上年减少0.93万元（67.3%），减少的主要原因是:厉行节约，缩减开支 。其中：因公出国（境）经费0万元，较上年无变化；公务接待费0万元，较上年无变化；公务用车运行费0万元，较上年无变化；公务用车购置费0万元，较上年无变化；会议费预算支出0万元较上年减少0.6万元，减少的原因是会议减少，缩减开支；培训费预算支出1.38万元较上年减少0.33万元，减少的原因是厉行节约，缩减开支。</w:t>
      </w:r>
      <w:bookmarkStart w:id="0" w:name="_GoBack"/>
      <w:bookmarkEnd w:id="0"/>
    </w:p>
    <w:p w:rsidR="009466C5" w:rsidRDefault="00DA5AAD">
      <w:pPr>
        <w:numPr>
          <w:ilvl w:val="0"/>
          <w:numId w:val="6"/>
        </w:numPr>
        <w:shd w:val="solid" w:color="FFFFFF" w:fill="auto"/>
        <w:autoSpaceDN w:val="0"/>
        <w:spacing w:line="560" w:lineRule="exact"/>
        <w:ind w:firstLineChars="200" w:firstLine="640"/>
        <w:jc w:val="left"/>
        <w:rPr>
          <w:rFonts w:ascii="黑体" w:eastAsia="黑体" w:hAnsi="黑体" w:cs="黑体"/>
          <w:color w:val="2B2B2B"/>
          <w:sz w:val="32"/>
          <w:szCs w:val="32"/>
          <w:shd w:val="clear" w:color="auto" w:fill="FFFFFF"/>
        </w:rPr>
      </w:pPr>
      <w:r>
        <w:rPr>
          <w:rFonts w:ascii="黑体" w:eastAsia="黑体" w:hAnsi="黑体" w:cs="黑体" w:hint="eastAsia"/>
          <w:sz w:val="32"/>
          <w:szCs w:val="32"/>
        </w:rPr>
        <w:t>部门</w:t>
      </w:r>
      <w:r>
        <w:rPr>
          <w:rFonts w:ascii="黑体" w:eastAsia="黑体" w:hAnsi="黑体" w:cs="黑体" w:hint="eastAsia"/>
          <w:color w:val="2B2B2B"/>
          <w:sz w:val="32"/>
          <w:szCs w:val="32"/>
          <w:shd w:val="clear" w:color="auto" w:fill="FFFFFF"/>
        </w:rPr>
        <w:t>国有资产占有使用及资产购置情况说明</w:t>
      </w:r>
    </w:p>
    <w:p w:rsidR="002470DB" w:rsidRDefault="00DA5AAD">
      <w:pPr>
        <w:shd w:val="solid" w:color="FFFFFF" w:fill="auto"/>
        <w:autoSpaceDN w:val="0"/>
        <w:spacing w:line="560" w:lineRule="exact"/>
        <w:ind w:firstLine="640"/>
        <w:jc w:val="left"/>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截止2019年底，本部门所属预算单位共有车辆0辆，</w:t>
      </w:r>
      <w:r w:rsidR="002470DB">
        <w:rPr>
          <w:rFonts w:ascii="仿宋_GB2312" w:eastAsia="仿宋_GB2312" w:hAnsi="仿宋_GB2312" w:cs="仿宋_GB2312" w:hint="eastAsia"/>
          <w:color w:val="2B2B2B"/>
          <w:sz w:val="32"/>
          <w:szCs w:val="32"/>
          <w:shd w:val="clear" w:color="auto" w:fill="FFFFFF"/>
        </w:rPr>
        <w:t>单价20万以上的设备0台</w:t>
      </w:r>
      <w:r w:rsidR="007A6462" w:rsidRPr="007A6462">
        <w:rPr>
          <w:rFonts w:ascii="仿宋_GB2312" w:eastAsia="仿宋_GB2312" w:hAnsi="仿宋_GB2312" w:cs="仿宋_GB2312" w:hint="eastAsia"/>
          <w:color w:val="2B2B2B"/>
          <w:sz w:val="32"/>
          <w:szCs w:val="32"/>
          <w:shd w:val="clear" w:color="auto" w:fill="FFFFFF"/>
        </w:rPr>
        <w:t>（套）</w:t>
      </w:r>
      <w:r w:rsidR="002470DB">
        <w:rPr>
          <w:rFonts w:ascii="仿宋_GB2312" w:eastAsia="仿宋_GB2312" w:hAnsi="仿宋_GB2312" w:cs="仿宋_GB2312" w:hint="eastAsia"/>
          <w:color w:val="2B2B2B"/>
          <w:sz w:val="32"/>
          <w:szCs w:val="32"/>
          <w:shd w:val="clear" w:color="auto" w:fill="FFFFFF"/>
        </w:rPr>
        <w:t>，2020年当年部门预算安排购置车辆0辆，安排购置单价20万元以上的设备0台</w:t>
      </w:r>
      <w:r w:rsidR="007A6462" w:rsidRPr="007A6462">
        <w:rPr>
          <w:rFonts w:ascii="仿宋_GB2312" w:eastAsia="仿宋_GB2312" w:hAnsi="仿宋_GB2312" w:cs="仿宋_GB2312" w:hint="eastAsia"/>
          <w:color w:val="2B2B2B"/>
          <w:sz w:val="32"/>
          <w:szCs w:val="32"/>
          <w:shd w:val="clear" w:color="auto" w:fill="FFFFFF"/>
        </w:rPr>
        <w:t>（套）</w:t>
      </w:r>
      <w:r w:rsidR="002470DB">
        <w:rPr>
          <w:rFonts w:ascii="仿宋_GB2312" w:eastAsia="仿宋_GB2312" w:hAnsi="仿宋_GB2312" w:cs="仿宋_GB2312" w:hint="eastAsia"/>
          <w:color w:val="2B2B2B"/>
          <w:sz w:val="32"/>
          <w:szCs w:val="32"/>
          <w:shd w:val="clear" w:color="auto" w:fill="FFFFFF"/>
        </w:rPr>
        <w:t>。</w:t>
      </w:r>
    </w:p>
    <w:p w:rsidR="009466C5" w:rsidRDefault="00DA5AAD">
      <w:pPr>
        <w:shd w:val="solid" w:color="FFFFFF" w:fill="auto"/>
        <w:autoSpaceDN w:val="0"/>
        <w:spacing w:line="560" w:lineRule="exact"/>
        <w:ind w:firstLine="640"/>
        <w:jc w:val="left"/>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本部门无2019年结转的财政拨款支出资产购置。</w:t>
      </w:r>
    </w:p>
    <w:p w:rsidR="009466C5" w:rsidRDefault="00DA5AAD">
      <w:pPr>
        <w:numPr>
          <w:ilvl w:val="0"/>
          <w:numId w:val="6"/>
        </w:numPr>
        <w:shd w:val="solid" w:color="FFFFFF" w:fill="auto"/>
        <w:autoSpaceDN w:val="0"/>
        <w:spacing w:line="560" w:lineRule="exact"/>
        <w:ind w:firstLineChars="200" w:firstLine="640"/>
        <w:jc w:val="left"/>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部门政府采购情况说明</w:t>
      </w:r>
    </w:p>
    <w:p w:rsidR="009466C5" w:rsidRDefault="00DA5AAD">
      <w:pPr>
        <w:shd w:val="solid" w:color="FFFFFF" w:fill="auto"/>
        <w:autoSpaceDN w:val="0"/>
        <w:spacing w:line="560" w:lineRule="exact"/>
        <w:ind w:firstLineChars="200" w:firstLine="640"/>
        <w:jc w:val="left"/>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本部门2020年无政府采购预算，并已公开空表；本部门无2019年结转的政府采购资金支出。</w:t>
      </w:r>
    </w:p>
    <w:p w:rsidR="009466C5" w:rsidRDefault="00DA5AAD">
      <w:pPr>
        <w:numPr>
          <w:ilvl w:val="0"/>
          <w:numId w:val="6"/>
        </w:numPr>
        <w:shd w:val="solid" w:color="FFFFFF" w:fill="auto"/>
        <w:autoSpaceDN w:val="0"/>
        <w:spacing w:line="560" w:lineRule="exact"/>
        <w:ind w:firstLineChars="200" w:firstLine="640"/>
        <w:jc w:val="left"/>
        <w:rPr>
          <w:rFonts w:ascii="黑体" w:eastAsia="黑体" w:hAnsi="黑体" w:cs="黑体"/>
          <w:color w:val="2B2B2B"/>
          <w:sz w:val="32"/>
          <w:szCs w:val="32"/>
          <w:shd w:val="clear" w:color="auto" w:fill="FFFFFF"/>
        </w:rPr>
      </w:pPr>
      <w:r>
        <w:rPr>
          <w:rFonts w:ascii="黑体" w:eastAsia="黑体" w:hAnsi="黑体" w:cs="黑体" w:hint="eastAsia"/>
          <w:color w:val="2B2B2B"/>
          <w:sz w:val="32"/>
          <w:szCs w:val="32"/>
          <w:shd w:val="clear" w:color="auto" w:fill="FFFFFF"/>
        </w:rPr>
        <w:t>部门预算绩效目标说明</w:t>
      </w:r>
    </w:p>
    <w:p w:rsidR="009466C5" w:rsidRDefault="00DA5AAD">
      <w:pPr>
        <w:shd w:val="solid" w:color="FFFFFF" w:fill="auto"/>
        <w:autoSpaceDN w:val="0"/>
        <w:spacing w:line="560" w:lineRule="exact"/>
        <w:ind w:firstLineChars="200" w:firstLine="640"/>
        <w:jc w:val="left"/>
        <w:rPr>
          <w:rFonts w:ascii="仿宋_GB2312" w:eastAsia="仿宋_GB2312" w:hAnsi="仿宋_GB2312" w:cs="仿宋_GB2312"/>
          <w:color w:val="2B2B2B"/>
          <w:sz w:val="32"/>
          <w:szCs w:val="32"/>
          <w:shd w:val="clear" w:color="auto" w:fill="FFFFFF"/>
        </w:rPr>
      </w:pPr>
      <w:r>
        <w:rPr>
          <w:rFonts w:ascii="仿宋_GB2312" w:eastAsia="仿宋_GB2312" w:hAnsi="仿宋_GB2312" w:cs="仿宋_GB2312" w:hint="eastAsia"/>
          <w:color w:val="2B2B2B"/>
          <w:sz w:val="32"/>
          <w:szCs w:val="32"/>
          <w:shd w:val="clear" w:color="auto" w:fill="FFFFFF"/>
        </w:rPr>
        <w:t>2020年本部门绩效目标管理全覆盖，涉及当年一般公共预算拨款696.97万元。（详见公开报表中的绩效目标表）；本部门无</w:t>
      </w:r>
      <w:r>
        <w:rPr>
          <w:rFonts w:ascii="仿宋_GB2312" w:eastAsia="仿宋_GB2312" w:hAnsi="仿宋_GB2312" w:cs="仿宋_GB2312" w:hint="eastAsia"/>
          <w:color w:val="2B2B2B"/>
          <w:sz w:val="32"/>
          <w:szCs w:val="32"/>
          <w:shd w:val="clear" w:color="auto" w:fill="FFFFFF"/>
        </w:rPr>
        <w:lastRenderedPageBreak/>
        <w:t>2019年结转的财政拨款支出涉及的绩效目标管理。</w:t>
      </w:r>
    </w:p>
    <w:p w:rsidR="009466C5" w:rsidRDefault="00DA5AAD">
      <w:pPr>
        <w:numPr>
          <w:ilvl w:val="0"/>
          <w:numId w:val="6"/>
        </w:numPr>
        <w:shd w:val="solid" w:color="FFFFFF" w:fill="auto"/>
        <w:autoSpaceDN w:val="0"/>
        <w:spacing w:line="56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机关运行经费安排情况</w:t>
      </w:r>
    </w:p>
    <w:p w:rsidR="009466C5" w:rsidRDefault="00DA5AAD">
      <w:pPr>
        <w:shd w:val="solid" w:color="FFFFFF" w:fill="auto"/>
        <w:autoSpaceDN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本部门当年机关运行经费预算安排29.23万元，较上年增加4.25万元，主要原因是</w:t>
      </w:r>
      <w:r>
        <w:rPr>
          <w:rFonts w:ascii="仿宋_GB2312" w:eastAsia="仿宋_GB2312" w:hint="eastAsia"/>
          <w:sz w:val="32"/>
          <w:szCs w:val="32"/>
        </w:rPr>
        <w:t>人员变动引起的公用支出变动</w:t>
      </w:r>
      <w:r>
        <w:rPr>
          <w:rFonts w:ascii="仿宋_GB2312" w:eastAsia="仿宋_GB2312" w:hAnsi="仿宋_GB2312" w:cs="仿宋_GB2312" w:hint="eastAsia"/>
          <w:sz w:val="32"/>
          <w:szCs w:val="32"/>
        </w:rPr>
        <w:t>；本部门无2019年结转的财政拨款机关运行经费支出。</w:t>
      </w:r>
    </w:p>
    <w:p w:rsidR="009466C5" w:rsidRDefault="00DA5AAD">
      <w:pPr>
        <w:numPr>
          <w:ilvl w:val="0"/>
          <w:numId w:val="6"/>
        </w:numPr>
        <w:shd w:val="solid" w:color="FFFFFF" w:fill="auto"/>
        <w:autoSpaceDN w:val="0"/>
        <w:spacing w:line="56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专业名词解释</w:t>
      </w:r>
    </w:p>
    <w:p w:rsidR="000F4BDA" w:rsidRPr="000F4BDA" w:rsidRDefault="000F4BDA" w:rsidP="000F4BDA">
      <w:pPr>
        <w:pStyle w:val="a9"/>
        <w:shd w:val="clear" w:color="auto" w:fill="FFFFFF"/>
        <w:spacing w:before="0" w:beforeAutospacing="0" w:after="390" w:afterAutospacing="0"/>
        <w:rPr>
          <w:rFonts w:ascii="仿宋_GB2312" w:eastAsia="仿宋_GB2312" w:hAnsi="仿宋_GB2312" w:cs="仿宋_GB2312"/>
          <w:color w:val="2B2B2B"/>
          <w:kern w:val="2"/>
          <w:sz w:val="32"/>
          <w:szCs w:val="32"/>
          <w:shd w:val="clear" w:color="auto" w:fill="FFFFFF"/>
        </w:rPr>
      </w:pPr>
      <w:r>
        <w:rPr>
          <w:rFonts w:ascii="仿宋_GB2312" w:eastAsia="仿宋_GB2312" w:hAnsi="仿宋_GB2312" w:cs="仿宋_GB2312" w:hint="eastAsia"/>
          <w:kern w:val="2"/>
          <w:sz w:val="32"/>
          <w:szCs w:val="32"/>
        </w:rPr>
        <w:t xml:space="preserve">  </w:t>
      </w:r>
      <w:r w:rsidRPr="000F4BDA">
        <w:rPr>
          <w:rFonts w:ascii="仿宋_GB2312" w:eastAsia="仿宋_GB2312" w:hAnsi="仿宋_GB2312" w:cs="仿宋_GB2312" w:hint="eastAsia"/>
          <w:kern w:val="2"/>
          <w:sz w:val="32"/>
          <w:szCs w:val="32"/>
        </w:rPr>
        <w:t>1</w:t>
      </w:r>
      <w:r w:rsidRPr="000F4BDA">
        <w:rPr>
          <w:rFonts w:ascii="仿宋_GB2312" w:eastAsia="仿宋_GB2312" w:hAnsi="仿宋_GB2312" w:cs="仿宋_GB2312" w:hint="eastAsia"/>
          <w:color w:val="2B2B2B"/>
          <w:kern w:val="2"/>
          <w:sz w:val="32"/>
          <w:szCs w:val="32"/>
          <w:shd w:val="clear" w:color="auto" w:fill="FFFFFF"/>
        </w:rPr>
        <w:t>.机关运行经费：指本单位的公用经费，包括办公及印刷费、邮电费、差旅费、会议费、福利费、日常维修费、专用材料及一般设备购置费、办公用房水电费、办公用房取暖费、办公用房物业管理费、公务用车运行维护费以及其他费用。</w:t>
      </w:r>
    </w:p>
    <w:p w:rsidR="000F4BDA" w:rsidRPr="000F4BDA" w:rsidRDefault="000F4BDA" w:rsidP="000F4BDA">
      <w:pPr>
        <w:pStyle w:val="a9"/>
        <w:shd w:val="clear" w:color="auto" w:fill="FFFFFF"/>
        <w:spacing w:before="0" w:beforeAutospacing="0" w:after="390" w:afterAutospacing="0"/>
        <w:rPr>
          <w:rFonts w:ascii="仿宋_GB2312" w:eastAsia="仿宋_GB2312" w:hAnsi="仿宋_GB2312" w:cs="仿宋_GB2312"/>
          <w:color w:val="2B2B2B"/>
          <w:kern w:val="2"/>
          <w:sz w:val="32"/>
          <w:szCs w:val="32"/>
          <w:shd w:val="clear" w:color="auto" w:fill="FFFFFF"/>
        </w:rPr>
      </w:pPr>
      <w:r w:rsidRPr="000F4BDA">
        <w:rPr>
          <w:rFonts w:ascii="仿宋_GB2312" w:eastAsia="仿宋_GB2312" w:hAnsi="仿宋_GB2312" w:cs="仿宋_GB2312" w:hint="eastAsia"/>
          <w:color w:val="2B2B2B"/>
          <w:kern w:val="2"/>
          <w:sz w:val="32"/>
          <w:szCs w:val="32"/>
          <w:shd w:val="clear" w:color="auto" w:fill="FFFFFF"/>
        </w:rPr>
        <w:t xml:space="preserve">  2.三公经费：指财政拨款支出安排的出国（境）费、车辆购置及运行费、公务接待费这三项经费。</w:t>
      </w:r>
    </w:p>
    <w:p w:rsidR="000F4BDA" w:rsidRPr="000F4BDA" w:rsidRDefault="000F4BDA" w:rsidP="000F4BDA">
      <w:pPr>
        <w:pStyle w:val="a9"/>
        <w:shd w:val="clear" w:color="auto" w:fill="FFFFFF"/>
        <w:spacing w:before="0" w:beforeAutospacing="0" w:after="390" w:afterAutospacing="0"/>
        <w:rPr>
          <w:rFonts w:ascii="仿宋_GB2312" w:eastAsia="仿宋_GB2312" w:hAnsi="仿宋_GB2312" w:cs="仿宋_GB2312"/>
          <w:color w:val="2B2B2B"/>
          <w:kern w:val="2"/>
          <w:sz w:val="32"/>
          <w:szCs w:val="32"/>
          <w:shd w:val="clear" w:color="auto" w:fill="FFFFFF"/>
        </w:rPr>
      </w:pPr>
      <w:r w:rsidRPr="000F4BDA">
        <w:rPr>
          <w:rFonts w:ascii="仿宋_GB2312" w:eastAsia="仿宋_GB2312" w:hAnsi="仿宋_GB2312" w:cs="仿宋_GB2312" w:hint="eastAsia"/>
          <w:color w:val="2B2B2B"/>
          <w:kern w:val="2"/>
          <w:sz w:val="32"/>
          <w:szCs w:val="32"/>
          <w:shd w:val="clear" w:color="auto" w:fill="FFFFFF"/>
        </w:rPr>
        <w:t xml:space="preserve">  3.基本支出：包括人员经费和日常公用经费两部分。</w:t>
      </w:r>
    </w:p>
    <w:p w:rsidR="000F4BDA" w:rsidRPr="000F4BDA" w:rsidRDefault="000F4BDA" w:rsidP="000F4BDA">
      <w:pPr>
        <w:pStyle w:val="a9"/>
        <w:shd w:val="clear" w:color="auto" w:fill="FFFFFF"/>
        <w:spacing w:before="0" w:beforeAutospacing="0" w:after="390" w:afterAutospacing="0"/>
        <w:rPr>
          <w:rFonts w:ascii="仿宋_GB2312" w:eastAsia="仿宋_GB2312" w:hAnsi="仿宋_GB2312" w:cs="仿宋_GB2312"/>
          <w:color w:val="2B2B2B"/>
          <w:kern w:val="2"/>
          <w:sz w:val="32"/>
          <w:szCs w:val="32"/>
          <w:shd w:val="clear" w:color="auto" w:fill="FFFFFF"/>
        </w:rPr>
      </w:pPr>
      <w:r w:rsidRPr="000F4BDA">
        <w:rPr>
          <w:rFonts w:ascii="仿宋_GB2312" w:eastAsia="仿宋_GB2312" w:hAnsi="仿宋_GB2312" w:cs="仿宋_GB2312" w:hint="eastAsia"/>
          <w:color w:val="2B2B2B"/>
          <w:kern w:val="2"/>
          <w:sz w:val="32"/>
          <w:szCs w:val="32"/>
          <w:shd w:val="clear" w:color="auto" w:fill="FFFFFF"/>
        </w:rPr>
        <w:t xml:space="preserve">  4.项目支出：项目支出是除基本预算支出以外财政预算专项专款安排的支出。</w:t>
      </w:r>
    </w:p>
    <w:p w:rsidR="000F4BDA" w:rsidRPr="000F4BDA" w:rsidRDefault="000F4BDA">
      <w:pPr>
        <w:spacing w:line="560" w:lineRule="exact"/>
        <w:ind w:leftChars="200" w:left="420"/>
        <w:jc w:val="center"/>
        <w:rPr>
          <w:rFonts w:ascii="微软雅黑" w:eastAsia="微软雅黑" w:hAnsi="微软雅黑"/>
          <w:color w:val="333333"/>
          <w:sz w:val="27"/>
          <w:szCs w:val="27"/>
          <w:shd w:val="clear" w:color="auto" w:fill="FFFFFF"/>
        </w:rPr>
      </w:pPr>
    </w:p>
    <w:p w:rsidR="009466C5" w:rsidRDefault="00DA5AAD">
      <w:pPr>
        <w:spacing w:line="560" w:lineRule="exact"/>
        <w:ind w:leftChars="200" w:left="420"/>
        <w:jc w:val="center"/>
        <w:rPr>
          <w:rFonts w:ascii="黑体" w:eastAsia="黑体" w:hAnsi="黑体" w:cs="黑体"/>
          <w:sz w:val="32"/>
          <w:szCs w:val="32"/>
        </w:rPr>
      </w:pPr>
      <w:r>
        <w:rPr>
          <w:rFonts w:ascii="黑体" w:eastAsia="黑体" w:hAnsi="黑体" w:cs="黑体" w:hint="eastAsia"/>
          <w:sz w:val="32"/>
          <w:szCs w:val="32"/>
        </w:rPr>
        <w:t>第四部分 公开报表</w:t>
      </w:r>
    </w:p>
    <w:p w:rsidR="009466C5" w:rsidRDefault="00DA5AAD">
      <w:pPr>
        <w:spacing w:line="560" w:lineRule="exact"/>
        <w:rPr>
          <w:rFonts w:ascii="仿宋_GB2312" w:eastAsia="仿宋_GB2312"/>
          <w:sz w:val="32"/>
          <w:szCs w:val="32"/>
        </w:rPr>
      </w:pPr>
      <w:r>
        <w:rPr>
          <w:rFonts w:ascii="仿宋_GB2312" w:eastAsia="仿宋_GB2312" w:hint="eastAsia"/>
          <w:sz w:val="32"/>
          <w:szCs w:val="32"/>
        </w:rPr>
        <w:t>见附表</w:t>
      </w:r>
    </w:p>
    <w:p w:rsidR="00DA5AAD" w:rsidRDefault="00DA5AAD">
      <w:pPr>
        <w:jc w:val="left"/>
        <w:rPr>
          <w:sz w:val="32"/>
          <w:szCs w:val="32"/>
        </w:rPr>
      </w:pPr>
    </w:p>
    <w:sectPr w:rsidR="00DA5AAD" w:rsidSect="009466C5">
      <w:footerReference w:type="default" r:id="rId8"/>
      <w:pgSz w:w="11906" w:h="16838"/>
      <w:pgMar w:top="2098" w:right="1474" w:bottom="1985" w:left="1588"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2D04" w:rsidRDefault="00A22D04">
      <w:r>
        <w:separator/>
      </w:r>
    </w:p>
  </w:endnote>
  <w:endnote w:type="continuationSeparator" w:id="0">
    <w:p w:rsidR="00A22D04" w:rsidRDefault="00A22D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6C5" w:rsidRDefault="00DA5AAD">
    <w:pPr>
      <w:pStyle w:val="a7"/>
      <w:framePr w:wrap="around" w:vAnchor="text" w:hAnchor="margin" w:xAlign="outside" w:y="1"/>
      <w:rPr>
        <w:rStyle w:val="a4"/>
        <w:sz w:val="28"/>
        <w:szCs w:val="28"/>
      </w:rPr>
    </w:pPr>
    <w:r>
      <w:rPr>
        <w:rStyle w:val="a4"/>
        <w:sz w:val="28"/>
        <w:szCs w:val="28"/>
      </w:rPr>
      <w:t xml:space="preserve">— </w:t>
    </w:r>
    <w:r w:rsidR="007A0302">
      <w:rPr>
        <w:sz w:val="28"/>
        <w:szCs w:val="28"/>
      </w:rPr>
      <w:fldChar w:fldCharType="begin"/>
    </w:r>
    <w:r>
      <w:rPr>
        <w:rStyle w:val="a4"/>
        <w:sz w:val="28"/>
        <w:szCs w:val="28"/>
      </w:rPr>
      <w:instrText xml:space="preserve">PAGE  </w:instrText>
    </w:r>
    <w:r w:rsidR="007A0302">
      <w:rPr>
        <w:sz w:val="28"/>
        <w:szCs w:val="28"/>
      </w:rPr>
      <w:fldChar w:fldCharType="separate"/>
    </w:r>
    <w:r w:rsidR="00CD68FC">
      <w:rPr>
        <w:rStyle w:val="a4"/>
        <w:noProof/>
        <w:sz w:val="28"/>
        <w:szCs w:val="28"/>
      </w:rPr>
      <w:t>9</w:t>
    </w:r>
    <w:r w:rsidR="007A0302">
      <w:rPr>
        <w:sz w:val="28"/>
        <w:szCs w:val="28"/>
      </w:rPr>
      <w:fldChar w:fldCharType="end"/>
    </w:r>
    <w:r>
      <w:rPr>
        <w:rStyle w:val="a4"/>
        <w:sz w:val="28"/>
        <w:szCs w:val="28"/>
      </w:rPr>
      <w:t xml:space="preserve"> —</w:t>
    </w:r>
  </w:p>
  <w:p w:rsidR="009466C5" w:rsidRDefault="009466C5">
    <w:pPr>
      <w:pStyle w:val="a7"/>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2D04" w:rsidRDefault="00A22D04">
      <w:r>
        <w:separator/>
      </w:r>
    </w:p>
  </w:footnote>
  <w:footnote w:type="continuationSeparator" w:id="0">
    <w:p w:rsidR="00A22D04" w:rsidRDefault="00A22D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5F7CB72"/>
    <w:multiLevelType w:val="singleLevel"/>
    <w:tmpl w:val="B5F7CB72"/>
    <w:lvl w:ilvl="0">
      <w:start w:val="1"/>
      <w:numFmt w:val="chineseCounting"/>
      <w:suff w:val="space"/>
      <w:lvlText w:val="第%1部分"/>
      <w:lvlJc w:val="left"/>
      <w:rPr>
        <w:rFonts w:hint="eastAsia"/>
      </w:rPr>
    </w:lvl>
  </w:abstractNum>
  <w:abstractNum w:abstractNumId="1">
    <w:nsid w:val="EB869F43"/>
    <w:multiLevelType w:val="singleLevel"/>
    <w:tmpl w:val="EB869F43"/>
    <w:lvl w:ilvl="0">
      <w:start w:val="7"/>
      <w:numFmt w:val="chineseCounting"/>
      <w:suff w:val="nothing"/>
      <w:lvlText w:val="%1、"/>
      <w:lvlJc w:val="left"/>
      <w:rPr>
        <w:rFonts w:hint="eastAsia"/>
      </w:rPr>
    </w:lvl>
  </w:abstractNum>
  <w:abstractNum w:abstractNumId="2">
    <w:nsid w:val="F87522F3"/>
    <w:multiLevelType w:val="singleLevel"/>
    <w:tmpl w:val="F87522F3"/>
    <w:lvl w:ilvl="0">
      <w:start w:val="5"/>
      <w:numFmt w:val="chineseCounting"/>
      <w:suff w:val="nothing"/>
      <w:lvlText w:val="（%1）"/>
      <w:lvlJc w:val="left"/>
      <w:rPr>
        <w:rFonts w:hint="eastAsia"/>
      </w:rPr>
    </w:lvl>
  </w:abstractNum>
  <w:abstractNum w:abstractNumId="3">
    <w:nsid w:val="25F3ECE3"/>
    <w:multiLevelType w:val="singleLevel"/>
    <w:tmpl w:val="25F3ECE3"/>
    <w:lvl w:ilvl="0">
      <w:start w:val="1"/>
      <w:numFmt w:val="chineseCounting"/>
      <w:suff w:val="nothing"/>
      <w:lvlText w:val="%1、"/>
      <w:lvlJc w:val="left"/>
      <w:rPr>
        <w:rFonts w:hint="eastAsia"/>
      </w:rPr>
    </w:lvl>
  </w:abstractNum>
  <w:abstractNum w:abstractNumId="4">
    <w:nsid w:val="3785BB36"/>
    <w:multiLevelType w:val="singleLevel"/>
    <w:tmpl w:val="3785BB36"/>
    <w:lvl w:ilvl="0">
      <w:start w:val="2"/>
      <w:numFmt w:val="decimal"/>
      <w:suff w:val="nothing"/>
      <w:lvlText w:val="（%1）"/>
      <w:lvlJc w:val="left"/>
    </w:lvl>
  </w:abstractNum>
  <w:abstractNum w:abstractNumId="5">
    <w:nsid w:val="72309C8F"/>
    <w:multiLevelType w:val="singleLevel"/>
    <w:tmpl w:val="72309C8F"/>
    <w:lvl w:ilvl="0">
      <w:start w:val="2"/>
      <w:numFmt w:val="chineseCounting"/>
      <w:suff w:val="space"/>
      <w:lvlText w:val="第%1部分"/>
      <w:lvlJc w:val="left"/>
      <w:rPr>
        <w:rFonts w:hint="eastAsia"/>
      </w:rPr>
    </w:lvl>
  </w:abstractNum>
  <w:num w:numId="1">
    <w:abstractNumId w:val="0"/>
  </w:num>
  <w:num w:numId="2">
    <w:abstractNumId w:val="3"/>
  </w:num>
  <w:num w:numId="3">
    <w:abstractNumId w:val="5"/>
  </w:num>
  <w:num w:numId="4">
    <w:abstractNumId w:val="4"/>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0"/>
  <w:drawingGridVerticalSpacing w:val="156"/>
  <w:noPunctuationKerning/>
  <w:characterSpacingControl w:val="compressPunctuation"/>
  <w:doNotValidateAgainstSchema/>
  <w:doNotDemarcateInvalidXml/>
  <w:hdrShapeDefaults>
    <o:shapedefaults v:ext="edit" spidmax="16385"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21AC1"/>
    <w:rsid w:val="00040252"/>
    <w:rsid w:val="00050131"/>
    <w:rsid w:val="000F4BDA"/>
    <w:rsid w:val="001061A7"/>
    <w:rsid w:val="00172A27"/>
    <w:rsid w:val="0019103A"/>
    <w:rsid w:val="001A256A"/>
    <w:rsid w:val="001E3972"/>
    <w:rsid w:val="002470DB"/>
    <w:rsid w:val="002D5B0C"/>
    <w:rsid w:val="00351FC1"/>
    <w:rsid w:val="003636C6"/>
    <w:rsid w:val="00377597"/>
    <w:rsid w:val="003D0C73"/>
    <w:rsid w:val="003F5EF6"/>
    <w:rsid w:val="00484523"/>
    <w:rsid w:val="004C28D8"/>
    <w:rsid w:val="004D1B16"/>
    <w:rsid w:val="004F754F"/>
    <w:rsid w:val="00500E66"/>
    <w:rsid w:val="00531E10"/>
    <w:rsid w:val="00564ACF"/>
    <w:rsid w:val="005A01DA"/>
    <w:rsid w:val="005F21E0"/>
    <w:rsid w:val="00604E6C"/>
    <w:rsid w:val="00662027"/>
    <w:rsid w:val="006A1B33"/>
    <w:rsid w:val="006B13B0"/>
    <w:rsid w:val="007337A9"/>
    <w:rsid w:val="007A0302"/>
    <w:rsid w:val="007A6462"/>
    <w:rsid w:val="007D04D2"/>
    <w:rsid w:val="00806370"/>
    <w:rsid w:val="00844FD2"/>
    <w:rsid w:val="008901D5"/>
    <w:rsid w:val="00894E7B"/>
    <w:rsid w:val="00931140"/>
    <w:rsid w:val="009466C5"/>
    <w:rsid w:val="00957226"/>
    <w:rsid w:val="009B2DA9"/>
    <w:rsid w:val="009E1AB1"/>
    <w:rsid w:val="009F543E"/>
    <w:rsid w:val="00A22D04"/>
    <w:rsid w:val="00AD7178"/>
    <w:rsid w:val="00B13FE3"/>
    <w:rsid w:val="00BA4739"/>
    <w:rsid w:val="00BF3018"/>
    <w:rsid w:val="00C82517"/>
    <w:rsid w:val="00CB330B"/>
    <w:rsid w:val="00CB384E"/>
    <w:rsid w:val="00CC33C7"/>
    <w:rsid w:val="00CD68FC"/>
    <w:rsid w:val="00CE1350"/>
    <w:rsid w:val="00CF614F"/>
    <w:rsid w:val="00D5021B"/>
    <w:rsid w:val="00D65240"/>
    <w:rsid w:val="00D778A9"/>
    <w:rsid w:val="00DA519E"/>
    <w:rsid w:val="00DA5AAD"/>
    <w:rsid w:val="00E338F9"/>
    <w:rsid w:val="00E562D2"/>
    <w:rsid w:val="00E63F2C"/>
    <w:rsid w:val="00F104E5"/>
    <w:rsid w:val="00F21FC5"/>
    <w:rsid w:val="00F9589E"/>
    <w:rsid w:val="00FF2DDF"/>
    <w:rsid w:val="06CC5AD8"/>
    <w:rsid w:val="06D5430C"/>
    <w:rsid w:val="08950EC5"/>
    <w:rsid w:val="09C4349A"/>
    <w:rsid w:val="0A0407CB"/>
    <w:rsid w:val="0BE93F57"/>
    <w:rsid w:val="0BF00C6E"/>
    <w:rsid w:val="0C391A72"/>
    <w:rsid w:val="0D1C28E2"/>
    <w:rsid w:val="0D28283B"/>
    <w:rsid w:val="0D3A080E"/>
    <w:rsid w:val="0DCC402D"/>
    <w:rsid w:val="0E7A771C"/>
    <w:rsid w:val="0F216BE9"/>
    <w:rsid w:val="0F642822"/>
    <w:rsid w:val="1004308B"/>
    <w:rsid w:val="112C46E6"/>
    <w:rsid w:val="11BC1FF3"/>
    <w:rsid w:val="14DD25C4"/>
    <w:rsid w:val="163762F5"/>
    <w:rsid w:val="173F2B5B"/>
    <w:rsid w:val="19813F7C"/>
    <w:rsid w:val="19FB4FEA"/>
    <w:rsid w:val="1B39053C"/>
    <w:rsid w:val="1CB66B3B"/>
    <w:rsid w:val="1E7F7B9C"/>
    <w:rsid w:val="20734C0B"/>
    <w:rsid w:val="2100584B"/>
    <w:rsid w:val="23752619"/>
    <w:rsid w:val="23F62F48"/>
    <w:rsid w:val="24856F4B"/>
    <w:rsid w:val="24986315"/>
    <w:rsid w:val="24B1364E"/>
    <w:rsid w:val="254106F2"/>
    <w:rsid w:val="266D62BD"/>
    <w:rsid w:val="27270926"/>
    <w:rsid w:val="27890E5D"/>
    <w:rsid w:val="27CF358C"/>
    <w:rsid w:val="284C3943"/>
    <w:rsid w:val="2A955E0D"/>
    <w:rsid w:val="2B802D97"/>
    <w:rsid w:val="2C0B5D33"/>
    <w:rsid w:val="2D5C2906"/>
    <w:rsid w:val="2D6C7F7D"/>
    <w:rsid w:val="2E184367"/>
    <w:rsid w:val="2E9A3BBD"/>
    <w:rsid w:val="3042524D"/>
    <w:rsid w:val="31CC5DA6"/>
    <w:rsid w:val="334C0F11"/>
    <w:rsid w:val="33C75B41"/>
    <w:rsid w:val="346A2B97"/>
    <w:rsid w:val="377D48AD"/>
    <w:rsid w:val="379E5A38"/>
    <w:rsid w:val="38677C6E"/>
    <w:rsid w:val="3A264E80"/>
    <w:rsid w:val="3BA27FD0"/>
    <w:rsid w:val="3C2175FE"/>
    <w:rsid w:val="3CF4049C"/>
    <w:rsid w:val="3EDE193D"/>
    <w:rsid w:val="3FA72A92"/>
    <w:rsid w:val="417C6B1B"/>
    <w:rsid w:val="41D61B0E"/>
    <w:rsid w:val="41DC4566"/>
    <w:rsid w:val="41DD5889"/>
    <w:rsid w:val="44AF04DF"/>
    <w:rsid w:val="450D478B"/>
    <w:rsid w:val="46FC210B"/>
    <w:rsid w:val="470173B5"/>
    <w:rsid w:val="47B857D7"/>
    <w:rsid w:val="480B58D5"/>
    <w:rsid w:val="48102B1D"/>
    <w:rsid w:val="481929E8"/>
    <w:rsid w:val="48476665"/>
    <w:rsid w:val="48BE45A9"/>
    <w:rsid w:val="4A1012F0"/>
    <w:rsid w:val="4A5A66B5"/>
    <w:rsid w:val="4B9036F5"/>
    <w:rsid w:val="4BF32EC1"/>
    <w:rsid w:val="4D2B4A5B"/>
    <w:rsid w:val="4D4447C7"/>
    <w:rsid w:val="4D966A54"/>
    <w:rsid w:val="4DDF10DB"/>
    <w:rsid w:val="4F464546"/>
    <w:rsid w:val="4FE62BE6"/>
    <w:rsid w:val="506223EA"/>
    <w:rsid w:val="50CD5F7E"/>
    <w:rsid w:val="52646BCC"/>
    <w:rsid w:val="52C44153"/>
    <w:rsid w:val="532136CC"/>
    <w:rsid w:val="5365279F"/>
    <w:rsid w:val="551854E7"/>
    <w:rsid w:val="57CE1D7C"/>
    <w:rsid w:val="57FA0B65"/>
    <w:rsid w:val="59DD3EA2"/>
    <w:rsid w:val="5A274261"/>
    <w:rsid w:val="5B575457"/>
    <w:rsid w:val="5CD406C0"/>
    <w:rsid w:val="5E4D0BBC"/>
    <w:rsid w:val="5E5E3D69"/>
    <w:rsid w:val="5E9C61DF"/>
    <w:rsid w:val="5F303600"/>
    <w:rsid w:val="61704181"/>
    <w:rsid w:val="61A74F2F"/>
    <w:rsid w:val="626A5776"/>
    <w:rsid w:val="62BD74F2"/>
    <w:rsid w:val="62BF07BF"/>
    <w:rsid w:val="63083DA8"/>
    <w:rsid w:val="63347410"/>
    <w:rsid w:val="64451B55"/>
    <w:rsid w:val="652D5E8D"/>
    <w:rsid w:val="652E070A"/>
    <w:rsid w:val="658B15B6"/>
    <w:rsid w:val="676612FD"/>
    <w:rsid w:val="698B30F0"/>
    <w:rsid w:val="69EF4EBF"/>
    <w:rsid w:val="6AD55503"/>
    <w:rsid w:val="6B181FD4"/>
    <w:rsid w:val="6CA11AA1"/>
    <w:rsid w:val="6D9714F2"/>
    <w:rsid w:val="6E184929"/>
    <w:rsid w:val="6E297505"/>
    <w:rsid w:val="704211B2"/>
    <w:rsid w:val="709E2D80"/>
    <w:rsid w:val="720C4195"/>
    <w:rsid w:val="745D02E5"/>
    <w:rsid w:val="7553594C"/>
    <w:rsid w:val="775E43B1"/>
    <w:rsid w:val="77EE5A33"/>
    <w:rsid w:val="79DA19F3"/>
    <w:rsid w:val="7AC54508"/>
    <w:rsid w:val="7C83125D"/>
    <w:rsid w:val="7DB03ED0"/>
    <w:rsid w:val="7DE65C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semiHidden="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Web)" w:qFormat="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466C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locked/>
    <w:rsid w:val="009466C5"/>
    <w:rPr>
      <w:rFonts w:ascii="Times New Roman" w:eastAsia="宋体" w:hAnsi="Times New Roman" w:cs="Times New Roman"/>
      <w:sz w:val="18"/>
      <w:szCs w:val="18"/>
    </w:rPr>
  </w:style>
  <w:style w:type="character" w:styleId="a4">
    <w:name w:val="page number"/>
    <w:rsid w:val="009466C5"/>
    <w:rPr>
      <w:rFonts w:cs="Times New Roman"/>
    </w:rPr>
  </w:style>
  <w:style w:type="character" w:customStyle="1" w:styleId="Char0">
    <w:name w:val="日期 Char"/>
    <w:link w:val="a5"/>
    <w:rsid w:val="009466C5"/>
    <w:rPr>
      <w:rFonts w:ascii="Times New Roman" w:hAnsi="Times New Roman"/>
      <w:kern w:val="2"/>
      <w:sz w:val="21"/>
      <w:szCs w:val="24"/>
    </w:rPr>
  </w:style>
  <w:style w:type="character" w:customStyle="1" w:styleId="Char1">
    <w:name w:val="批注框文本 Char"/>
    <w:link w:val="a6"/>
    <w:semiHidden/>
    <w:locked/>
    <w:rsid w:val="009466C5"/>
    <w:rPr>
      <w:rFonts w:ascii="Times New Roman" w:eastAsia="宋体" w:hAnsi="Times New Roman" w:cs="Times New Roman"/>
      <w:sz w:val="18"/>
      <w:szCs w:val="18"/>
    </w:rPr>
  </w:style>
  <w:style w:type="character" w:customStyle="1" w:styleId="Char2">
    <w:name w:val="页脚 Char"/>
    <w:link w:val="a7"/>
    <w:locked/>
    <w:rsid w:val="009466C5"/>
    <w:rPr>
      <w:rFonts w:ascii="Times New Roman" w:eastAsia="宋体" w:hAnsi="Times New Roman" w:cs="Times New Roman"/>
      <w:sz w:val="18"/>
      <w:szCs w:val="18"/>
    </w:rPr>
  </w:style>
  <w:style w:type="paragraph" w:styleId="a3">
    <w:name w:val="header"/>
    <w:basedOn w:val="a"/>
    <w:link w:val="Char"/>
    <w:rsid w:val="009466C5"/>
    <w:pPr>
      <w:pBdr>
        <w:bottom w:val="single" w:sz="6" w:space="1" w:color="auto"/>
      </w:pBdr>
      <w:tabs>
        <w:tab w:val="center" w:pos="4153"/>
        <w:tab w:val="right" w:pos="8306"/>
      </w:tabs>
      <w:snapToGrid w:val="0"/>
      <w:jc w:val="center"/>
    </w:pPr>
    <w:rPr>
      <w:kern w:val="0"/>
      <w:sz w:val="18"/>
      <w:szCs w:val="18"/>
    </w:rPr>
  </w:style>
  <w:style w:type="paragraph" w:styleId="a5">
    <w:name w:val="Date"/>
    <w:basedOn w:val="a"/>
    <w:next w:val="a"/>
    <w:link w:val="Char0"/>
    <w:rsid w:val="009466C5"/>
    <w:pPr>
      <w:ind w:leftChars="2500" w:left="100"/>
    </w:pPr>
  </w:style>
  <w:style w:type="paragraph" w:styleId="a6">
    <w:name w:val="Balloon Text"/>
    <w:basedOn w:val="a"/>
    <w:link w:val="Char1"/>
    <w:semiHidden/>
    <w:rsid w:val="009466C5"/>
    <w:rPr>
      <w:kern w:val="0"/>
      <w:sz w:val="18"/>
      <w:szCs w:val="18"/>
    </w:rPr>
  </w:style>
  <w:style w:type="paragraph" w:styleId="a7">
    <w:name w:val="footer"/>
    <w:basedOn w:val="a"/>
    <w:link w:val="Char2"/>
    <w:rsid w:val="009466C5"/>
    <w:pPr>
      <w:tabs>
        <w:tab w:val="center" w:pos="4153"/>
        <w:tab w:val="right" w:pos="8306"/>
      </w:tabs>
      <w:snapToGrid w:val="0"/>
      <w:jc w:val="left"/>
    </w:pPr>
    <w:rPr>
      <w:kern w:val="0"/>
      <w:sz w:val="18"/>
      <w:szCs w:val="18"/>
    </w:rPr>
  </w:style>
  <w:style w:type="paragraph" w:customStyle="1" w:styleId="CharChar">
    <w:name w:val="Char Char"/>
    <w:basedOn w:val="a"/>
    <w:semiHidden/>
    <w:rsid w:val="009466C5"/>
  </w:style>
  <w:style w:type="table" w:styleId="a8">
    <w:name w:val="Table Grid"/>
    <w:basedOn w:val="a1"/>
    <w:uiPriority w:val="99"/>
    <w:unhideWhenUsed/>
    <w:rsid w:val="009466C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unhideWhenUsed/>
    <w:qFormat/>
    <w:rsid w:val="000F4BDA"/>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206105728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72" b="0" i="0" u="none" strike="noStrike" baseline="0">
                <a:solidFill>
                  <a:srgbClr val="000000"/>
                </a:solidFill>
                <a:latin typeface="宋体"/>
                <a:ea typeface="宋体"/>
                <a:cs typeface="宋体"/>
              </a:defRPr>
            </a:pPr>
            <a:r>
              <a:rPr lang="zh-CN" altLang="en-US"/>
              <a:t>人员情况柱状图</a:t>
            </a:r>
          </a:p>
        </c:rich>
      </c:tx>
      <c:layout>
        <c:manualLayout>
          <c:xMode val="edge"/>
          <c:yMode val="edge"/>
          <c:x val="0.36038186157517987"/>
          <c:y val="1.9841269841269875E-2"/>
        </c:manualLayout>
      </c:layout>
      <c:spPr>
        <a:noFill/>
        <a:ln w="26925">
          <a:noFill/>
        </a:ln>
      </c:spPr>
    </c:title>
    <c:view3D>
      <c:hPercent val="65"/>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6.921241050119345E-2"/>
          <c:y val="0.19047619047619094"/>
          <c:w val="0.68496420047732698"/>
          <c:h val="0.66666666666666663"/>
        </c:manualLayout>
      </c:layout>
      <c:bar3DChart>
        <c:barDir val="col"/>
        <c:grouping val="clustered"/>
        <c:ser>
          <c:idx val="0"/>
          <c:order val="0"/>
          <c:tx>
            <c:strRef>
              <c:f>Sheet1!$A$2</c:f>
              <c:strCache>
                <c:ptCount val="1"/>
                <c:pt idx="0">
                  <c:v>行政人员</c:v>
                </c:pt>
              </c:strCache>
            </c:strRef>
          </c:tx>
          <c:spPr>
            <a:solidFill>
              <a:srgbClr val="9999FF"/>
            </a:solidFill>
            <a:ln w="13462">
              <a:solidFill>
                <a:srgbClr val="000000"/>
              </a:solidFill>
              <a:prstDash val="solid"/>
            </a:ln>
          </c:spPr>
          <c:cat>
            <c:strRef>
              <c:f>Sheet1!$B$1:$E$1</c:f>
              <c:strCache>
                <c:ptCount val="2"/>
                <c:pt idx="0">
                  <c:v>编制</c:v>
                </c:pt>
                <c:pt idx="1">
                  <c:v>实有</c:v>
                </c:pt>
              </c:strCache>
            </c:strRef>
          </c:cat>
          <c:val>
            <c:numRef>
              <c:f>Sheet1!$B$2:$E$2</c:f>
              <c:numCache>
                <c:formatCode>General</c:formatCode>
                <c:ptCount val="4"/>
                <c:pt idx="0">
                  <c:v>13</c:v>
                </c:pt>
                <c:pt idx="1">
                  <c:v>11</c:v>
                </c:pt>
              </c:numCache>
            </c:numRef>
          </c:val>
        </c:ser>
        <c:ser>
          <c:idx val="1"/>
          <c:order val="1"/>
          <c:tx>
            <c:strRef>
              <c:f>Sheet1!$A$3</c:f>
              <c:strCache>
                <c:ptCount val="1"/>
                <c:pt idx="0">
                  <c:v>事业人员</c:v>
                </c:pt>
              </c:strCache>
            </c:strRef>
          </c:tx>
          <c:spPr>
            <a:solidFill>
              <a:srgbClr val="993366"/>
            </a:solidFill>
            <a:ln w="13462">
              <a:solidFill>
                <a:srgbClr val="000000"/>
              </a:solidFill>
              <a:prstDash val="solid"/>
            </a:ln>
          </c:spPr>
          <c:cat>
            <c:strRef>
              <c:f>Sheet1!$B$1:$E$1</c:f>
              <c:strCache>
                <c:ptCount val="2"/>
                <c:pt idx="0">
                  <c:v>编制</c:v>
                </c:pt>
                <c:pt idx="1">
                  <c:v>实有</c:v>
                </c:pt>
              </c:strCache>
            </c:strRef>
          </c:cat>
          <c:val>
            <c:numRef>
              <c:f>Sheet1!$B$3:$E$3</c:f>
              <c:numCache>
                <c:formatCode>General</c:formatCode>
                <c:ptCount val="4"/>
                <c:pt idx="0">
                  <c:v>8</c:v>
                </c:pt>
                <c:pt idx="1">
                  <c:v>10</c:v>
                </c:pt>
              </c:numCache>
            </c:numRef>
          </c:val>
        </c:ser>
        <c:gapWidth val="240"/>
        <c:gapDepth val="40"/>
        <c:shape val="box"/>
        <c:axId val="510258560"/>
        <c:axId val="540580480"/>
        <c:axId val="0"/>
      </c:bar3DChart>
      <c:catAx>
        <c:axId val="510258560"/>
        <c:scaling>
          <c:orientation val="minMax"/>
        </c:scaling>
        <c:axPos val="b"/>
        <c:numFmt formatCode="General" sourceLinked="1"/>
        <c:majorTickMark val="in"/>
        <c:tickLblPos val="low"/>
        <c:spPr>
          <a:ln w="3366">
            <a:solidFill>
              <a:srgbClr val="000000"/>
            </a:solidFill>
            <a:prstDash val="solid"/>
          </a:ln>
        </c:spPr>
        <c:txPr>
          <a:bodyPr rot="0" vert="horz"/>
          <a:lstStyle/>
          <a:p>
            <a:pPr>
              <a:defRPr sz="1272" b="0" i="0" u="none" strike="noStrike" baseline="0">
                <a:solidFill>
                  <a:srgbClr val="000000"/>
                </a:solidFill>
                <a:latin typeface="宋体"/>
                <a:ea typeface="宋体"/>
                <a:cs typeface="宋体"/>
              </a:defRPr>
            </a:pPr>
            <a:endParaRPr lang="zh-CN"/>
          </a:p>
        </c:txPr>
        <c:crossAx val="540580480"/>
        <c:crosses val="autoZero"/>
        <c:auto val="1"/>
        <c:lblAlgn val="ctr"/>
        <c:lblOffset val="100"/>
        <c:tickLblSkip val="1"/>
        <c:tickMarkSkip val="1"/>
      </c:catAx>
      <c:valAx>
        <c:axId val="540580480"/>
        <c:scaling>
          <c:orientation val="minMax"/>
        </c:scaling>
        <c:axPos val="l"/>
        <c:majorGridlines>
          <c:spPr>
            <a:ln w="3366">
              <a:solidFill>
                <a:srgbClr val="000000"/>
              </a:solidFill>
              <a:prstDash val="solid"/>
            </a:ln>
          </c:spPr>
        </c:majorGridlines>
        <c:numFmt formatCode="General" sourceLinked="1"/>
        <c:majorTickMark val="in"/>
        <c:tickLblPos val="nextTo"/>
        <c:spPr>
          <a:ln w="3366">
            <a:solidFill>
              <a:srgbClr val="000000"/>
            </a:solidFill>
            <a:prstDash val="solid"/>
          </a:ln>
        </c:spPr>
        <c:txPr>
          <a:bodyPr rot="0" vert="horz"/>
          <a:lstStyle/>
          <a:p>
            <a:pPr>
              <a:defRPr sz="1272" b="0" i="0" u="none" strike="noStrike" baseline="0">
                <a:solidFill>
                  <a:srgbClr val="000000"/>
                </a:solidFill>
                <a:latin typeface="宋体"/>
                <a:ea typeface="宋体"/>
                <a:cs typeface="宋体"/>
              </a:defRPr>
            </a:pPr>
            <a:endParaRPr lang="zh-CN"/>
          </a:p>
        </c:txPr>
        <c:crossAx val="510258560"/>
        <c:crosses val="autoZero"/>
        <c:crossBetween val="between"/>
      </c:valAx>
      <c:spPr>
        <a:noFill/>
        <a:ln w="26925">
          <a:noFill/>
        </a:ln>
      </c:spPr>
    </c:plotArea>
    <c:legend>
      <c:legendPos val="r"/>
      <c:layout>
        <c:manualLayout>
          <c:xMode val="edge"/>
          <c:yMode val="edge"/>
          <c:x val="0.7804295942720767"/>
          <c:y val="0.48015873015873017"/>
          <c:w val="0.21002386634844869"/>
          <c:h val="0.17063492063492064"/>
        </c:manualLayout>
      </c:layout>
      <c:spPr>
        <a:noFill/>
        <a:ln w="3366">
          <a:solidFill>
            <a:srgbClr val="000000"/>
          </a:solidFill>
          <a:prstDash val="solid"/>
        </a:ln>
      </c:spPr>
      <c:txPr>
        <a:bodyPr/>
        <a:lstStyle/>
        <a:p>
          <a:pPr>
            <a:defRPr sz="1166"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1272" b="0" i="0" u="none" strike="noStrike" baseline="0">
          <a:solidFill>
            <a:srgbClr val="000000"/>
          </a:solidFill>
          <a:latin typeface="宋体"/>
          <a:ea typeface="宋体"/>
          <a:cs typeface="宋体"/>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14</Pages>
  <Words>6662</Words>
  <Characters>438</Characters>
  <Application>Microsoft Office Word</Application>
  <DocSecurity>0</DocSecurity>
  <PresentationFormat/>
  <Lines>3</Lines>
  <Paragraphs>14</Paragraphs>
  <Slides>0</Slides>
  <Notes>0</Notes>
  <HiddenSlides>0</HiddenSlides>
  <MMClips>0</MMClips>
  <ScaleCrop>false</ScaleCrop>
  <Company/>
  <LinksUpToDate>false</LinksUpToDate>
  <CharactersWithSpaces>7086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西安市莲湖区2014年</dc:title>
  <dc:creator>YuSuan303</dc:creator>
  <cp:lastModifiedBy>lenovo</cp:lastModifiedBy>
  <cp:revision>9</cp:revision>
  <cp:lastPrinted>2016-04-27T01:54:00Z</cp:lastPrinted>
  <dcterms:created xsi:type="dcterms:W3CDTF">2021-05-07T02:31:00Z</dcterms:created>
  <dcterms:modified xsi:type="dcterms:W3CDTF">2021-05-28T06:24:00Z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