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jc w:val="center"/>
        <w:rPr>
          <w:rFonts w:ascii="方正小标宋简体" w:eastAsia="方正小标宋简体"/>
          <w:sz w:val="44"/>
          <w:szCs w:val="44"/>
        </w:rPr>
      </w:pPr>
      <w:r>
        <w:rPr>
          <w:rFonts w:hint="eastAsia" w:ascii="方正小标宋简体" w:eastAsia="方正小标宋简体"/>
          <w:sz w:val="44"/>
          <w:szCs w:val="44"/>
        </w:rPr>
        <w:t>莲湖区红庙坡街办2018年度部门决算说明</w:t>
      </w:r>
    </w:p>
    <w:p>
      <w:pPr>
        <w:spacing w:line="560" w:lineRule="exact"/>
        <w:contextualSpacing/>
        <w:rPr>
          <w:rFonts w:ascii="仿宋_GB2312" w:eastAsia="仿宋_GB2312"/>
          <w:sz w:val="32"/>
          <w:szCs w:val="32"/>
        </w:rPr>
      </w:pPr>
    </w:p>
    <w:p>
      <w:pPr>
        <w:spacing w:line="560" w:lineRule="exact"/>
        <w:contextualSpacing/>
        <w:rPr>
          <w:rFonts w:ascii="仿宋_GB2312" w:eastAsia="仿宋_GB2312"/>
          <w:sz w:val="32"/>
          <w:szCs w:val="32"/>
        </w:rPr>
      </w:pPr>
      <w:r>
        <w:rPr>
          <w:rFonts w:hint="eastAsia" w:ascii="仿宋_GB2312" w:eastAsia="仿宋_GB2312"/>
          <w:sz w:val="32"/>
          <w:szCs w:val="32"/>
        </w:rPr>
        <w:t xml:space="preserve">     2018年度区级部门决算公开的内容包括部门概况和部门决算公开信息表、部门决算情况说明三部分。</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一、部门概况</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（一）部门主要职责、机构设置</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1.主要职责</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西安市莲湖区红庙坡街道办事处是莲湖区委、区政府派出机构，位于西安古城墙外西北部，东起华强路、文景南路，南临环城北路，西到西二环，北至龙首北路、梨园路，面积9.6平方公里。红庙坡街道担负着宣传贯彻落实党和政府的各项方针、政策，执行上级的决议、决定和命令。对红庙坡辖区驻地单位党组织的组织协调、指导，发展地区经济、服务群众、方便军民生活等各项任务，在促进地区的物质文明、政治文明、精神文明建设中发挥着重要作用。</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2.机构设置</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本单位设置18个科室，包括党政办公室（宣传文化办公室）、组织建设科、城市管理科、社会事务管理科、经济发展科、卫生和计划生育综合管理办公室、建设改造提升科、社会治安综合治理办公室、司法所（法律服务所）</w:t>
      </w:r>
      <w:r>
        <w:rPr>
          <w:rFonts w:hint="eastAsia" w:ascii="仿宋_GB2312" w:eastAsia="仿宋_GB2312"/>
          <w:spacing w:val="-12"/>
          <w:sz w:val="32"/>
          <w:szCs w:val="32"/>
        </w:rPr>
        <w:t>、纪工委办公室、</w:t>
      </w:r>
      <w:r>
        <w:rPr>
          <w:rFonts w:hint="eastAsia" w:ascii="仿宋_GB2312" w:eastAsia="仿宋_GB2312"/>
          <w:sz w:val="32"/>
          <w:szCs w:val="32"/>
        </w:rPr>
        <w:t>财政所、治污减霾网格化管理办公室、综合管理服务站、劳动保障事务所、文化事业服务站、统计工作站、市容环境卫生管理所、城管执法中队。</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（二）2018年度主要工作任务及目标</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2018年，红庙坡街道在区委、区政府的坚强领导下，坚持</w:t>
      </w:r>
    </w:p>
    <w:p>
      <w:pPr>
        <w:spacing w:line="560" w:lineRule="exact"/>
        <w:contextualSpacing/>
        <w:rPr>
          <w:rFonts w:ascii="楷体_GB2312" w:eastAsia="楷体_GB2312"/>
          <w:b/>
          <w:sz w:val="32"/>
          <w:szCs w:val="32"/>
        </w:rPr>
      </w:pPr>
      <w:r>
        <w:rPr>
          <w:rFonts w:hint="eastAsia" w:ascii="仿宋_GB2312" w:eastAsia="仿宋_GB2312"/>
          <w:sz w:val="32"/>
          <w:szCs w:val="32"/>
        </w:rPr>
        <w:t>以习近平新时代中国特色社会主义思想为指导，全面贯彻落实党的十九大精神及中央、省市区各项决策部署</w:t>
      </w:r>
      <w:r>
        <w:rPr>
          <w:rFonts w:hint="eastAsia" w:ascii="仿宋_GB2312" w:eastAsia="仿宋_GB2312"/>
          <w:spacing w:val="-12"/>
          <w:sz w:val="32"/>
          <w:szCs w:val="32"/>
        </w:rPr>
        <w:t>，突出政治引领、</w:t>
      </w:r>
      <w:r>
        <w:rPr>
          <w:rFonts w:hint="eastAsia" w:ascii="仿宋_GB2312" w:eastAsia="仿宋_GB2312"/>
          <w:sz w:val="32"/>
          <w:szCs w:val="32"/>
        </w:rPr>
        <w:t>稳中求进、改革创新，推进地区经济社会各项事业持续健康发展，较好地完成了年初确定的目标任务。</w:t>
      </w:r>
    </w:p>
    <w:p>
      <w:pPr>
        <w:spacing w:line="560" w:lineRule="exact"/>
        <w:ind w:firstLine="640" w:firstLineChars="200"/>
        <w:contextualSpacing/>
        <w:rPr>
          <w:rFonts w:hint="eastAsia" w:ascii="楷体_GB2312" w:eastAsia="楷体_GB2312"/>
          <w:sz w:val="32"/>
          <w:szCs w:val="32"/>
        </w:rPr>
      </w:pPr>
      <w:r>
        <w:rPr>
          <w:rFonts w:hint="eastAsia" w:ascii="楷体_GB2312" w:eastAsia="楷体_GB2312"/>
          <w:sz w:val="32"/>
          <w:szCs w:val="32"/>
        </w:rPr>
        <w:t>1.五张报表达到预期</w:t>
      </w:r>
    </w:p>
    <w:p>
      <w:pPr>
        <w:spacing w:line="560" w:lineRule="exact"/>
        <w:ind w:firstLine="579" w:firstLineChars="200"/>
        <w:contextualSpacing/>
        <w:rPr>
          <w:rFonts w:hint="eastAsia" w:ascii="楷体_GB2312" w:eastAsia="楷体_GB2312"/>
          <w:spacing w:val="-16"/>
          <w:sz w:val="32"/>
          <w:szCs w:val="32"/>
        </w:rPr>
      </w:pPr>
      <w:r>
        <w:rPr>
          <w:rFonts w:hint="eastAsia" w:ascii="仿宋_GB2312" w:eastAsia="仿宋_GB2312"/>
          <w:b/>
          <w:spacing w:val="-16"/>
          <w:sz w:val="32"/>
          <w:szCs w:val="32"/>
        </w:rPr>
        <w:t>发展报表。</w:t>
      </w:r>
      <w:r>
        <w:rPr>
          <w:rFonts w:hint="eastAsia" w:ascii="仿宋_GB2312" w:eastAsia="仿宋_GB2312"/>
          <w:spacing w:val="-16"/>
          <w:sz w:val="32"/>
          <w:szCs w:val="32"/>
        </w:rPr>
        <w:t>国税完成14577万元，占奋斗任务86.23%；地税完成9469万元，占奋斗任务83.86%，综合治税完成520.93万元。</w:t>
      </w:r>
    </w:p>
    <w:p>
      <w:pPr>
        <w:spacing w:line="560" w:lineRule="exact"/>
        <w:ind w:firstLine="627" w:firstLineChars="200"/>
        <w:contextualSpacing/>
        <w:rPr>
          <w:rFonts w:hint="eastAsia" w:ascii="仿宋_GB2312" w:eastAsia="仿宋_GB2312"/>
          <w:spacing w:val="-4"/>
          <w:sz w:val="32"/>
          <w:szCs w:val="32"/>
        </w:rPr>
      </w:pPr>
      <w:r>
        <w:rPr>
          <w:rFonts w:hint="eastAsia" w:ascii="仿宋_GB2312" w:eastAsia="仿宋_GB2312"/>
          <w:b/>
          <w:spacing w:val="-4"/>
          <w:sz w:val="32"/>
          <w:szCs w:val="32"/>
        </w:rPr>
        <w:t>生态报表。</w:t>
      </w:r>
      <w:r>
        <w:rPr>
          <w:rFonts w:hint="eastAsia" w:ascii="仿宋_GB2312" w:eastAsia="仿宋_GB2312"/>
          <w:spacing w:val="-4"/>
          <w:sz w:val="32"/>
          <w:szCs w:val="32"/>
        </w:rPr>
        <w:t>一是烟头、厕所再夯实。落实“路长制、所长制、河长制”上报问题33余，协调处理73个；二是网格管系统再升级。今年先后迎检16次，并得到省、市、区领导肯定，现已在全区推广；三是铁腕整治散乱污。坚持每日巡查，联合整治，强力取缔，定期复查。四是重点问题严督查。重点对2016年及期中央环保督查问题及信访问题进行回头看，相关问题已全部整改到位，资料已收集齐全；五是加快燃气锅炉改造。承担年度低氮锅炉改造63台，完成年任务100%。六是植树增绿强优生态。共开展集中植树活动、拆墙透绿、新增绿化面积11000平米，屋顶绿化也已选址。</w:t>
      </w:r>
    </w:p>
    <w:p>
      <w:pPr>
        <w:spacing w:line="560" w:lineRule="exact"/>
        <w:ind w:firstLine="643" w:firstLineChars="200"/>
        <w:contextualSpacing/>
        <w:rPr>
          <w:rFonts w:hint="eastAsia" w:ascii="仿宋_GB2312" w:eastAsia="仿宋_GB2312"/>
          <w:spacing w:val="-4"/>
          <w:sz w:val="32"/>
          <w:szCs w:val="32"/>
        </w:rPr>
      </w:pPr>
      <w:r>
        <w:rPr>
          <w:rFonts w:hint="eastAsia" w:ascii="仿宋_GB2312" w:eastAsia="仿宋_GB2312"/>
          <w:b/>
          <w:sz w:val="32"/>
          <w:szCs w:val="32"/>
        </w:rPr>
        <w:t>民生报表。</w:t>
      </w:r>
      <w:r>
        <w:rPr>
          <w:rFonts w:hint="eastAsia" w:ascii="仿宋_GB2312" w:eastAsia="仿宋_GB2312"/>
          <w:sz w:val="32"/>
          <w:szCs w:val="32"/>
        </w:rPr>
        <w:t>公租房实物配租完成541户，廉租房租金补贴完成62户，分别完成任务的135%和89%。低保总户数776户1229人，入户核查率100%，发放低保金1049万余元。</w:t>
      </w:r>
    </w:p>
    <w:p>
      <w:pPr>
        <w:spacing w:line="560" w:lineRule="exact"/>
        <w:ind w:firstLine="643" w:firstLineChars="200"/>
        <w:contextualSpacing/>
        <w:rPr>
          <w:rFonts w:hint="eastAsia" w:ascii="仿宋_GB2312" w:eastAsia="仿宋_GB2312"/>
          <w:spacing w:val="-4"/>
          <w:sz w:val="32"/>
          <w:szCs w:val="32"/>
        </w:rPr>
      </w:pPr>
      <w:r>
        <w:rPr>
          <w:rFonts w:hint="eastAsia" w:ascii="仿宋_GB2312" w:eastAsia="仿宋_GB2312"/>
          <w:b/>
          <w:sz w:val="32"/>
          <w:szCs w:val="32"/>
        </w:rPr>
        <w:t>平安报表。</w:t>
      </w:r>
      <w:r>
        <w:rPr>
          <w:rFonts w:hint="eastAsia" w:ascii="仿宋_GB2312" w:eastAsia="仿宋_GB2312"/>
          <w:sz w:val="32"/>
          <w:szCs w:val="32"/>
        </w:rPr>
        <w:t>全年接待受理群众网上投诉、来信来访155件次，及时受理率、按期办结率均达到100%。以网格化为载体，排查矛盾纠纷358起，及时处置太奥广场居民用电问题和浩林方里小区与业主违约金补偿问题。采取定期检查、重点抽查相结合形式，开展重大节假日和重大时期安全生产检查288次，开展行业专项整治52次，全年无重大安全生产事故发生。</w:t>
      </w:r>
    </w:p>
    <w:p>
      <w:pPr>
        <w:spacing w:line="560" w:lineRule="exact"/>
        <w:ind w:firstLine="627" w:firstLineChars="200"/>
        <w:contextualSpacing/>
        <w:rPr>
          <w:rFonts w:ascii="仿宋_GB2312" w:eastAsia="仿宋_GB2312"/>
          <w:spacing w:val="-4"/>
          <w:sz w:val="32"/>
          <w:szCs w:val="32"/>
        </w:rPr>
      </w:pPr>
      <w:r>
        <w:rPr>
          <w:rFonts w:hint="eastAsia" w:ascii="仿宋_GB2312" w:eastAsia="仿宋_GB2312"/>
          <w:b/>
          <w:spacing w:val="-4"/>
          <w:sz w:val="32"/>
          <w:szCs w:val="32"/>
        </w:rPr>
        <w:t>党建报表。</w:t>
      </w:r>
      <w:r>
        <w:rPr>
          <w:rFonts w:hint="eastAsia" w:ascii="仿宋_GB2312" w:eastAsia="仿宋_GB2312"/>
          <w:spacing w:val="-4"/>
          <w:sz w:val="32"/>
          <w:szCs w:val="32"/>
        </w:rPr>
        <w:t>一是运用“三项机制”调整干部。二是狠抓干部作风整顿，围绕“政治纪律、工作状态、行政效能、担当责任、作风纪律”5个方面问题，制定保障措施。三是大调研工作深入推进，组织街道、社区共确定大调研课题，梳理问题台账，现场提出整改措施。四是成立了4家非公经济党组织，成功创建1家三星、1家四星非公党组织。五是指导各社区策划党建项目30余个，开展活动50余次，受益群众14700余人。六是宣传、统战、创文、群团、人武、党校等各项工作均有序推进。</w:t>
      </w:r>
    </w:p>
    <w:p>
      <w:pPr>
        <w:spacing w:line="560" w:lineRule="exact"/>
        <w:ind w:firstLine="640" w:firstLineChars="200"/>
        <w:contextualSpacing/>
        <w:rPr>
          <w:rFonts w:hint="eastAsia" w:ascii="楷体_GB2312" w:eastAsia="楷体_GB2312"/>
          <w:sz w:val="32"/>
          <w:szCs w:val="32"/>
        </w:rPr>
      </w:pPr>
      <w:r>
        <w:rPr>
          <w:rFonts w:hint="eastAsia" w:ascii="楷体_GB2312" w:eastAsia="楷体_GB2312"/>
          <w:sz w:val="32"/>
          <w:szCs w:val="32"/>
        </w:rPr>
        <w:t>2.重点工作富有成效</w:t>
      </w:r>
    </w:p>
    <w:p>
      <w:pPr>
        <w:spacing w:line="560" w:lineRule="exact"/>
        <w:ind w:firstLine="600" w:firstLineChars="200"/>
        <w:contextualSpacing/>
        <w:rPr>
          <w:rFonts w:ascii="楷体_GB2312" w:eastAsia="楷体_GB2312"/>
          <w:spacing w:val="-10"/>
          <w:sz w:val="32"/>
          <w:szCs w:val="32"/>
        </w:rPr>
      </w:pPr>
      <w:r>
        <w:rPr>
          <w:rFonts w:hint="eastAsia" w:ascii="仿宋_GB2312" w:eastAsia="仿宋_GB2312"/>
          <w:spacing w:val="-10"/>
          <w:sz w:val="32"/>
          <w:szCs w:val="32"/>
        </w:rPr>
        <w:t>桃园北路征迁安置全力攻坚，4月中旬顺利完成丰禾家园一号拆除任务。不余遗力推动朱宏路景观改造提升（红庙坡范围）工作，顺利完成纳购物二层广场拆除，张家村（丰禾村七组）部分区域约13000平方米，已拆除8000平方米。“两拆”工作做到应拆尽拆，已拆除51350平方米，完成年任务量的342.3%；拆除违法户外广告及牌匾标识，年度任务量为120处，已拆除整改完毕。</w:t>
      </w:r>
    </w:p>
    <w:p>
      <w:pPr>
        <w:spacing w:line="560" w:lineRule="exact"/>
        <w:ind w:firstLine="640" w:firstLineChars="200"/>
        <w:contextualSpacing/>
        <w:rPr>
          <w:rFonts w:ascii="楷体_GB2312" w:eastAsia="楷体_GB2312"/>
          <w:sz w:val="32"/>
          <w:szCs w:val="32"/>
        </w:rPr>
      </w:pPr>
      <w:r>
        <w:rPr>
          <w:rFonts w:hint="eastAsia" w:ascii="楷体_GB2312" w:eastAsia="楷体_GB2312"/>
          <w:sz w:val="32"/>
          <w:szCs w:val="32"/>
        </w:rPr>
        <w:t>3.改革创新助力发展</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垃圾分类试点先行先试，在辖区市政小区率先开展生活垃</w:t>
      </w:r>
    </w:p>
    <w:p>
      <w:pPr>
        <w:spacing w:line="560" w:lineRule="exact"/>
        <w:contextualSpacing/>
        <w:rPr>
          <w:rFonts w:ascii="楷体_GB2312" w:eastAsia="楷体_GB2312"/>
          <w:b/>
          <w:sz w:val="32"/>
          <w:szCs w:val="32"/>
        </w:rPr>
      </w:pPr>
      <w:r>
        <w:rPr>
          <w:rFonts w:hint="eastAsia" w:ascii="仿宋_GB2312" w:eastAsia="仿宋_GB2312"/>
          <w:sz w:val="32"/>
          <w:szCs w:val="32"/>
        </w:rPr>
        <w:t>圾分类试点工作，初步建立了从源头收集到终端处置的闭环体系。探索实施“中心社区制”，通过整合等资源，构建多元主体参与、多元共治管理格局，破解社区政治引领功能弱化,治理无法满足群众多元服务需求问题。建立舆情收集、处置、回应闭环体系，多种载体、平台和机制，积极化解舆情，消除负面影响。</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（三）部门所属基层预算单位名称、单位性质、经费管理方式、人员及资产情况</w:t>
      </w:r>
    </w:p>
    <w:p>
      <w:pPr>
        <w:spacing w:line="560"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纳入本部门2018年度部门决算编制范围的二级决算单位共有</w:t>
      </w:r>
      <w:r>
        <w:rPr>
          <w:rFonts w:hint="eastAsia" w:ascii="仿宋_GB2312" w:eastAsia="仿宋_GB2312"/>
          <w:sz w:val="32"/>
          <w:szCs w:val="32"/>
          <w:lang w:val="en-US" w:eastAsia="zh-CN"/>
        </w:rPr>
        <w:t>1</w:t>
      </w:r>
      <w:r>
        <w:rPr>
          <w:rFonts w:hint="eastAsia" w:ascii="仿宋_GB2312" w:eastAsia="仿宋_GB2312"/>
          <w:sz w:val="32"/>
          <w:szCs w:val="32"/>
        </w:rPr>
        <w:t>个，包括：</w:t>
      </w:r>
    </w:p>
    <w:tbl>
      <w:tblPr>
        <w:tblStyle w:val="6"/>
        <w:tblpPr w:leftFromText="180" w:rightFromText="180" w:vertAnchor="text" w:horzAnchor="page" w:tblpX="1912" w:tblpY="16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0"/>
                <w:szCs w:val="30"/>
              </w:rPr>
            </w:pPr>
            <w:r>
              <w:rPr>
                <w:rFonts w:hint="eastAsia" w:ascii="仿宋" w:hAnsi="仿宋" w:eastAsia="仿宋" w:cs="仿宋_GB2312"/>
                <w:sz w:val="30"/>
                <w:szCs w:val="30"/>
              </w:rPr>
              <w:t>序号</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0"/>
                <w:szCs w:val="30"/>
              </w:rPr>
            </w:pPr>
            <w:r>
              <w:rPr>
                <w:rFonts w:hint="eastAsia" w:ascii="仿宋" w:hAnsi="仿宋" w:eastAsia="仿宋" w:cs="仿宋_GB2312"/>
                <w:sz w:val="30"/>
                <w:szCs w:val="30"/>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exact"/>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0"/>
                <w:szCs w:val="30"/>
              </w:rPr>
            </w:pPr>
            <w:r>
              <w:rPr>
                <w:rFonts w:ascii="仿宋" w:hAnsi="仿宋" w:eastAsia="仿宋" w:cs="仿宋_GB2312"/>
                <w:sz w:val="30"/>
                <w:szCs w:val="30"/>
              </w:rPr>
              <w:t>1</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560" w:lineRule="exact"/>
              <w:contextualSpacing/>
              <w:rPr>
                <w:rFonts w:ascii="楷体_GB2312" w:eastAsia="楷体_GB2312"/>
                <w:sz w:val="32"/>
                <w:szCs w:val="32"/>
              </w:rPr>
            </w:pPr>
            <w:r>
              <w:rPr>
                <w:rFonts w:hint="eastAsia" w:ascii="仿宋_GB2312" w:eastAsia="仿宋_GB2312"/>
                <w:sz w:val="32"/>
                <w:szCs w:val="32"/>
              </w:rPr>
              <w:t>西安市莲湖区红庙坡街道办事处</w:t>
            </w:r>
          </w:p>
          <w:p>
            <w:pPr>
              <w:spacing w:line="480" w:lineRule="exact"/>
              <w:rPr>
                <w:rFonts w:ascii="仿宋" w:hAnsi="仿宋" w:eastAsia="仿宋" w:cs="仿宋_GB2312"/>
                <w:sz w:val="30"/>
                <w:szCs w:val="30"/>
              </w:rPr>
            </w:pPr>
          </w:p>
        </w:tc>
      </w:tr>
    </w:tbl>
    <w:p>
      <w:pPr>
        <w:spacing w:line="560" w:lineRule="exact"/>
        <w:contextualSpacing/>
        <w:rPr>
          <w:rFonts w:hint="eastAsia" w:ascii="仿宋_GB2312" w:eastAsia="仿宋_GB2312"/>
          <w:sz w:val="32"/>
          <w:szCs w:val="32"/>
        </w:rPr>
      </w:pPr>
    </w:p>
    <w:p>
      <w:pPr>
        <w:spacing w:line="560" w:lineRule="exact"/>
        <w:ind w:firstLine="3200" w:firstLineChars="1000"/>
        <w:contextualSpacing/>
        <w:rPr>
          <w:rFonts w:hint="eastAsia" w:ascii="仿宋_GB2312" w:eastAsia="仿宋_GB2312"/>
          <w:sz w:val="32"/>
          <w:szCs w:val="32"/>
        </w:rPr>
      </w:pPr>
      <w:r>
        <w:rPr>
          <w:rFonts w:hint="eastAsia" w:ascii="仿宋_GB2312" w:eastAsia="仿宋_GB2312"/>
          <w:sz w:val="32"/>
          <w:szCs w:val="32"/>
        </w:rPr>
        <w:t>人员及资产情况</w:t>
      </w:r>
    </w:p>
    <w:p>
      <w:pPr>
        <w:ind w:firstLine="320" w:firstLineChars="100"/>
        <w:contextualSpacing/>
        <w:jc w:val="center"/>
        <w:rPr>
          <w:rFonts w:hint="eastAsia" w:ascii="仿宋_GB2312" w:eastAsia="仿宋_GB2312"/>
          <w:sz w:val="32"/>
          <w:szCs w:val="32"/>
        </w:rPr>
      </w:pPr>
      <w:r>
        <w:rPr>
          <w:rFonts w:hint="eastAsia" w:ascii="仿宋_GB2312" w:eastAsia="仿宋_GB2312"/>
          <w:sz w:val="32"/>
          <w:szCs w:val="32"/>
        </w:rPr>
        <w:drawing>
          <wp:inline distT="0" distB="0" distL="0" distR="0">
            <wp:extent cx="4933950" cy="198120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ind w:firstLine="640" w:firstLineChars="200"/>
        <w:contextualSpacing/>
        <w:rPr>
          <w:rFonts w:hint="eastAsia" w:ascii="仿宋_GB2312" w:eastAsia="仿宋_GB2312"/>
          <w:sz w:val="32"/>
          <w:szCs w:val="32"/>
        </w:rPr>
      </w:pPr>
      <w:r>
        <w:rPr>
          <w:rFonts w:hint="eastAsia" w:ascii="仿宋_GB2312" w:eastAsia="仿宋_GB2312"/>
          <w:sz w:val="32"/>
          <w:szCs w:val="32"/>
        </w:rPr>
        <w:t>（1）人员：2018年红庙坡街办编制人数为120人，其中行政人员52人，事业人员68人。街办实有人数为89人，其中行政人员47人，事业人员42人。单位管理的离休人员2人。</w:t>
      </w:r>
    </w:p>
    <w:p>
      <w:pPr>
        <w:spacing w:line="560"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（2）资产情况：截止2018年末西安市莲湖区红庙坡街道办事处资产总额为2198.42万元。。</w:t>
      </w:r>
    </w:p>
    <w:p>
      <w:pPr>
        <w:spacing w:line="560" w:lineRule="exact"/>
        <w:ind w:firstLine="640" w:firstLineChars="200"/>
        <w:contextualSpacing/>
        <w:rPr>
          <w:rFonts w:hint="eastAsia" w:ascii="黑体" w:hAnsi="黑体" w:eastAsia="黑体"/>
          <w:sz w:val="32"/>
          <w:szCs w:val="32"/>
        </w:rPr>
      </w:pPr>
      <w:r>
        <w:rPr>
          <w:rFonts w:hint="eastAsia" w:ascii="黑体" w:hAnsi="黑体" w:eastAsia="黑体"/>
          <w:sz w:val="32"/>
          <w:szCs w:val="32"/>
        </w:rPr>
        <w:t>二、部门决算公开信息表（见附表）</w:t>
      </w:r>
    </w:p>
    <w:p>
      <w:pPr>
        <w:pStyle w:val="5"/>
        <w:shd w:val="clear" w:color="auto" w:fill="FFFFFF"/>
        <w:spacing w:before="0" w:beforeAutospacing="0" w:after="0" w:afterAutospacing="0"/>
        <w:ind w:firstLine="480" w:firstLineChars="150"/>
        <w:rPr>
          <w:rFonts w:ascii="微软雅黑" w:hAnsi="微软雅黑" w:eastAsia="微软雅黑"/>
          <w:color w:val="2B2B2B"/>
        </w:rPr>
      </w:pPr>
      <w:r>
        <w:rPr>
          <w:rFonts w:hint="eastAsia" w:ascii="仿宋_GB2312" w:hAnsi="微软雅黑" w:eastAsia="仿宋_GB2312"/>
          <w:color w:val="2B2B2B"/>
          <w:sz w:val="32"/>
          <w:szCs w:val="32"/>
        </w:rPr>
        <w:t>（一）2018年度决算收支总表</w:t>
      </w:r>
    </w:p>
    <w:p>
      <w:pPr>
        <w:pStyle w:val="5"/>
        <w:shd w:val="clear" w:color="auto" w:fill="FFFFFF"/>
        <w:spacing w:before="0" w:beforeAutospacing="0" w:after="0" w:afterAutospacing="0"/>
        <w:ind w:firstLine="480" w:firstLineChars="150"/>
        <w:rPr>
          <w:rFonts w:hint="eastAsia" w:ascii="微软雅黑" w:hAnsi="微软雅黑" w:eastAsia="微软雅黑"/>
          <w:color w:val="2B2B2B"/>
        </w:rPr>
      </w:pPr>
      <w:r>
        <w:rPr>
          <w:rFonts w:hint="eastAsia" w:ascii="仿宋_GB2312" w:hAnsi="微软雅黑" w:eastAsia="仿宋_GB2312"/>
          <w:color w:val="2B2B2B"/>
          <w:sz w:val="32"/>
          <w:szCs w:val="32"/>
        </w:rPr>
        <w:t>（二）2018年度部门决算收入总表</w:t>
      </w:r>
    </w:p>
    <w:p>
      <w:pPr>
        <w:pStyle w:val="5"/>
        <w:shd w:val="clear" w:color="auto" w:fill="FFFFFF"/>
        <w:spacing w:before="0" w:beforeAutospacing="0" w:after="0" w:afterAutospacing="0"/>
        <w:ind w:firstLine="480" w:firstLineChars="150"/>
        <w:rPr>
          <w:rFonts w:hint="eastAsia" w:ascii="微软雅黑" w:hAnsi="微软雅黑" w:eastAsia="微软雅黑"/>
          <w:color w:val="2B2B2B"/>
        </w:rPr>
      </w:pPr>
      <w:r>
        <w:rPr>
          <w:rFonts w:hint="eastAsia" w:ascii="仿宋_GB2312" w:hAnsi="微软雅黑" w:eastAsia="仿宋_GB2312"/>
          <w:color w:val="2B2B2B"/>
          <w:sz w:val="32"/>
          <w:szCs w:val="32"/>
        </w:rPr>
        <w:t>（三）2018年度部门决算支出总表</w:t>
      </w:r>
    </w:p>
    <w:p>
      <w:pPr>
        <w:pStyle w:val="5"/>
        <w:shd w:val="clear" w:color="auto" w:fill="FFFFFF"/>
        <w:spacing w:before="0" w:beforeAutospacing="0" w:after="0" w:afterAutospacing="0"/>
        <w:ind w:firstLine="480" w:firstLineChars="150"/>
        <w:rPr>
          <w:rFonts w:hint="eastAsia" w:ascii="微软雅黑" w:hAnsi="微软雅黑" w:eastAsia="微软雅黑"/>
          <w:color w:val="2B2B2B"/>
        </w:rPr>
      </w:pPr>
      <w:r>
        <w:rPr>
          <w:rFonts w:hint="eastAsia" w:ascii="仿宋_GB2312" w:hAnsi="微软雅黑" w:eastAsia="仿宋_GB2312"/>
          <w:color w:val="2B2B2B"/>
          <w:sz w:val="32"/>
          <w:szCs w:val="32"/>
        </w:rPr>
        <w:t>（四）2018年度部门决算财政拨款收支总表</w:t>
      </w:r>
    </w:p>
    <w:p>
      <w:pPr>
        <w:pStyle w:val="5"/>
        <w:shd w:val="clear" w:color="auto" w:fill="FFFFFF"/>
        <w:spacing w:before="0" w:beforeAutospacing="0" w:after="0" w:afterAutospacing="0"/>
        <w:ind w:firstLine="480" w:firstLineChars="150"/>
        <w:rPr>
          <w:rFonts w:hint="eastAsia" w:ascii="微软雅黑" w:hAnsi="微软雅黑" w:eastAsia="微软雅黑"/>
          <w:color w:val="2B2B2B"/>
        </w:rPr>
      </w:pPr>
      <w:r>
        <w:rPr>
          <w:rFonts w:hint="eastAsia" w:ascii="仿宋_GB2312" w:hAnsi="微软雅黑" w:eastAsia="仿宋_GB2312"/>
          <w:color w:val="2B2B2B"/>
          <w:sz w:val="32"/>
          <w:szCs w:val="32"/>
        </w:rPr>
        <w:t>（五）2018年度部门决算一般公共预算财政拨款基本支出表（按功能分类科目）</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（六）2018年度部门决算一般公共预算财政拨款基本支出表（按经济分类科目）</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（七）2018年度部门决算政府性基金收入支出总表（没有数据的表格应当列出空表并说明）</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（八）2018年度部门决算政府性基金预算支出表（没有数据的表格应当列出空表并说明）</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（九）2018年度部门决算一般公共预算财政拨款“三公”经费支出及国有资产占用情况表</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（十）2018年度部门决算“三公”经费公共预算财政拨款支出上下年增减变化情况表</w:t>
      </w:r>
    </w:p>
    <w:p>
      <w:pPr>
        <w:pStyle w:val="5"/>
        <w:shd w:val="clear" w:color="auto" w:fill="FFFFFF"/>
        <w:spacing w:before="0" w:beforeAutospacing="0" w:after="0" w:afterAutospacing="0"/>
        <w:ind w:firstLine="640" w:firstLineChars="200"/>
        <w:rPr>
          <w:rFonts w:hint="eastAsia" w:ascii="微软雅黑" w:hAnsi="微软雅黑" w:eastAsia="微软雅黑"/>
          <w:color w:val="2B2B2B"/>
        </w:rPr>
      </w:pPr>
      <w:r>
        <w:rPr>
          <w:rFonts w:hint="eastAsia" w:ascii="仿宋_GB2312" w:hAnsi="微软雅黑" w:eastAsia="仿宋_GB2312"/>
          <w:color w:val="2B2B2B"/>
          <w:sz w:val="32"/>
          <w:szCs w:val="32"/>
        </w:rPr>
        <w:t>（十一）2018年度部门决算政府采购情况表（没有数据的表格应当列出空表并说明）</w:t>
      </w:r>
    </w:p>
    <w:p>
      <w:pPr>
        <w:pStyle w:val="5"/>
        <w:shd w:val="clear" w:color="auto" w:fill="FFFFFF"/>
        <w:spacing w:before="0" w:beforeAutospacing="0" w:after="0" w:afterAutospacing="0"/>
        <w:ind w:firstLine="480" w:firstLineChars="150"/>
        <w:rPr>
          <w:rFonts w:ascii="黑体" w:hAnsi="黑体" w:eastAsia="黑体"/>
          <w:sz w:val="32"/>
          <w:szCs w:val="32"/>
        </w:rPr>
      </w:pPr>
      <w:r>
        <w:rPr>
          <w:rFonts w:hint="eastAsia" w:ascii="仿宋_GB2312" w:hAnsi="微软雅黑" w:eastAsia="仿宋_GB2312"/>
          <w:color w:val="2B2B2B"/>
          <w:sz w:val="32"/>
          <w:szCs w:val="32"/>
        </w:rPr>
        <w:t>（十二）2018年度部门决算机关运行经费表（没有数据的表格应当列出空表并说明）</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三、部门决算情况说明</w:t>
      </w:r>
    </w:p>
    <w:p>
      <w:pPr>
        <w:spacing w:line="560" w:lineRule="exact"/>
        <w:ind w:firstLine="643" w:firstLineChars="200"/>
        <w:contextualSpacing/>
        <w:rPr>
          <w:rFonts w:ascii="楷体_GB2312" w:hAnsi="黑体" w:eastAsia="楷体_GB2312"/>
          <w:b/>
          <w:sz w:val="32"/>
          <w:szCs w:val="32"/>
        </w:rPr>
      </w:pPr>
      <w:r>
        <w:rPr>
          <w:rFonts w:hint="eastAsia" w:ascii="楷体_GB2312" w:eastAsia="楷体_GB2312"/>
          <w:b/>
          <w:sz w:val="32"/>
          <w:szCs w:val="32"/>
        </w:rPr>
        <w:t>（一）2018年度收入支出决算总体情况</w:t>
      </w:r>
    </w:p>
    <w:p>
      <w:pPr>
        <w:spacing w:line="560" w:lineRule="exact"/>
        <w:ind w:firstLine="616" w:firstLineChars="200"/>
        <w:contextualSpacing/>
        <w:rPr>
          <w:rFonts w:ascii="黑体" w:hAnsi="黑体" w:eastAsia="黑体"/>
          <w:spacing w:val="-6"/>
          <w:sz w:val="32"/>
          <w:szCs w:val="32"/>
        </w:rPr>
      </w:pPr>
      <w:r>
        <w:rPr>
          <w:rFonts w:hint="eastAsia" w:ascii="仿宋_GB2312" w:eastAsia="仿宋_GB2312"/>
          <w:spacing w:val="-6"/>
          <w:sz w:val="32"/>
          <w:szCs w:val="32"/>
        </w:rPr>
        <w:t>1.收入总计15834.76万元,较上年增加11147.16万元，其中：</w:t>
      </w:r>
    </w:p>
    <w:p>
      <w:pPr>
        <w:spacing w:line="560" w:lineRule="exact"/>
        <w:ind w:firstLine="640" w:firstLineChars="200"/>
        <w:contextualSpacing/>
        <w:rPr>
          <w:rFonts w:ascii="黑体" w:hAnsi="黑体" w:eastAsia="黑体"/>
          <w:sz w:val="32"/>
          <w:szCs w:val="32"/>
        </w:rPr>
      </w:pPr>
      <w:r>
        <w:rPr>
          <w:rFonts w:hint="eastAsia" w:ascii="仿宋_GB2312" w:eastAsia="仿宋_GB2312"/>
          <w:sz w:val="32"/>
          <w:szCs w:val="32"/>
        </w:rPr>
        <w:t>（1）公共预算拨款收入5834.76万元，较上年增加1147.16万元。增长原因一是节能环保污染防治新增煤改洁经费；二是离休人员纳入街办管理，新增行政单位离退费；三是大兴城管体制移交增加保洁经费等。</w:t>
      </w:r>
    </w:p>
    <w:p>
      <w:pPr>
        <w:spacing w:line="560" w:lineRule="exact"/>
        <w:ind w:firstLine="640" w:firstLineChars="200"/>
        <w:contextualSpacing/>
        <w:rPr>
          <w:rFonts w:ascii="黑体" w:hAnsi="黑体" w:eastAsia="黑体"/>
          <w:sz w:val="32"/>
          <w:szCs w:val="32"/>
        </w:rPr>
      </w:pPr>
      <w:r>
        <w:rPr>
          <w:rFonts w:hint="eastAsia" w:ascii="仿宋_GB2312" w:eastAsia="仿宋_GB2312"/>
          <w:sz w:val="32"/>
          <w:szCs w:val="32"/>
        </w:rPr>
        <w:t>（2）政府性基金收入10000万元，较上年增加10000万元。</w:t>
      </w:r>
    </w:p>
    <w:p>
      <w:pPr>
        <w:spacing w:line="560" w:lineRule="exact"/>
        <w:contextualSpacing/>
        <w:rPr>
          <w:rFonts w:ascii="仿宋_GB2312" w:eastAsia="仿宋_GB2312"/>
          <w:sz w:val="32"/>
          <w:szCs w:val="32"/>
        </w:rPr>
      </w:pPr>
      <w:r>
        <w:rPr>
          <w:rFonts w:hint="eastAsia" w:ascii="仿宋_GB2312" w:eastAsia="仿宋_GB2312"/>
          <w:sz w:val="32"/>
          <w:szCs w:val="32"/>
        </w:rPr>
        <w:t xml:space="preserve"> 主要原因是朱宏路景观提升项目，是本年度新增工作，资金来源为市专项资金。</w:t>
      </w:r>
    </w:p>
    <w:p>
      <w:pPr>
        <w:spacing w:line="560" w:lineRule="exact"/>
        <w:ind w:firstLine="600" w:firstLineChars="200"/>
        <w:contextualSpacing/>
        <w:rPr>
          <w:rFonts w:ascii="仿宋_GB2312" w:eastAsia="仿宋_GB2312"/>
          <w:spacing w:val="-10"/>
          <w:sz w:val="32"/>
          <w:szCs w:val="32"/>
        </w:rPr>
      </w:pPr>
      <w:r>
        <w:rPr>
          <w:rFonts w:hint="eastAsia" w:ascii="仿宋_GB2312" w:eastAsia="仿宋_GB2312"/>
          <w:spacing w:val="-10"/>
          <w:sz w:val="32"/>
          <w:szCs w:val="32"/>
        </w:rPr>
        <w:t>2.支出总计15241.36万元，较上年增加10537.38万元。其中：</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（1）基本支出1045.01万元，主要是为保障机构正常运转、完成日常工作任务而发生的各项支出，较上年减少73.04万元，主要是因人员调离及退休减少的经费。</w:t>
      </w:r>
    </w:p>
    <w:p>
      <w:pPr>
        <w:spacing w:line="560" w:lineRule="exact"/>
        <w:ind w:firstLine="616" w:firstLineChars="200"/>
        <w:contextualSpacing/>
        <w:rPr>
          <w:rFonts w:ascii="仿宋_GB2312" w:eastAsia="仿宋_GB2312"/>
          <w:spacing w:val="-6"/>
          <w:sz w:val="32"/>
          <w:szCs w:val="32"/>
        </w:rPr>
      </w:pPr>
      <w:r>
        <w:rPr>
          <w:rFonts w:hint="eastAsia" w:ascii="仿宋_GB2312" w:eastAsia="仿宋_GB2312"/>
          <w:spacing w:val="-6"/>
          <w:sz w:val="32"/>
          <w:szCs w:val="32"/>
        </w:rPr>
        <w:t>（2）项目支出14196.35万元，主要是为完成特定的行政工作任务或事业发展目标，在基本支出之外发生的支出，较上年增加10610.42万元。其中一是拆迁改造补偿经费等政府性基金支出增长10000万元，二是节能环保污染防治新增煤改洁经费205.49万元，三是大兴城管体制移交增加保洁经费1639.42万元，四是一般行政管理事务支出及基本政权和社区建设项目调整、专项经费减少支出1234.49万元。</w:t>
      </w:r>
    </w:p>
    <w:p>
      <w:pPr>
        <w:spacing w:line="560" w:lineRule="exact"/>
        <w:ind w:firstLine="608" w:firstLineChars="200"/>
        <w:contextualSpacing/>
        <w:rPr>
          <w:rFonts w:ascii="仿宋_GB2312" w:eastAsia="仿宋_GB2312"/>
          <w:spacing w:val="-8"/>
          <w:sz w:val="32"/>
          <w:szCs w:val="32"/>
        </w:rPr>
      </w:pPr>
      <w:r>
        <w:rPr>
          <w:rFonts w:hint="eastAsia" w:ascii="仿宋_GB2312" w:eastAsia="仿宋_GB2312"/>
          <w:spacing w:val="-8"/>
          <w:sz w:val="32"/>
          <w:szCs w:val="32"/>
        </w:rPr>
        <w:t>（3）年末结转和结余593.40万元，主要是本年预算安排、因客观条件发生变化无法按计划实施，需延迟到以后年度按原规定用途继续使用的资金。一般行政管理事物的结转562.35万元，基层政权和社区建设结转30.49万元，行政单位医疗结转0.56万元。</w:t>
      </w:r>
    </w:p>
    <w:p>
      <w:pPr>
        <w:spacing w:line="560" w:lineRule="exact"/>
        <w:ind w:firstLine="643" w:firstLineChars="200"/>
        <w:contextualSpacing/>
        <w:rPr>
          <w:rFonts w:hint="eastAsia" w:ascii="楷体_GB2312" w:eastAsia="楷体_GB2312"/>
          <w:b/>
          <w:sz w:val="32"/>
          <w:szCs w:val="32"/>
        </w:rPr>
      </w:pPr>
      <w:r>
        <w:rPr>
          <w:rFonts w:hint="eastAsia" w:ascii="楷体_GB2312" w:eastAsia="楷体_GB2312"/>
          <w:b/>
          <w:sz w:val="32"/>
          <w:szCs w:val="32"/>
        </w:rPr>
        <w:t>（二）2018年度财政拨款收入支出总体情况说明</w:t>
      </w:r>
    </w:p>
    <w:p>
      <w:pPr>
        <w:spacing w:line="560" w:lineRule="exact"/>
        <w:ind w:firstLine="640" w:firstLineChars="200"/>
        <w:contextualSpacing/>
        <w:rPr>
          <w:rFonts w:hint="eastAsia" w:ascii="楷体_GB2312" w:eastAsia="楷体_GB2312"/>
          <w:b/>
          <w:sz w:val="32"/>
          <w:szCs w:val="32"/>
        </w:rPr>
      </w:pPr>
      <w:r>
        <w:rPr>
          <w:rFonts w:hint="eastAsia" w:ascii="仿宋_GB2312" w:eastAsia="仿宋_GB2312"/>
          <w:sz w:val="32"/>
          <w:szCs w:val="32"/>
        </w:rPr>
        <w:t>1.财政拨款收入支出总体情况及上下年增减情情况及变化原因。</w:t>
      </w:r>
    </w:p>
    <w:p>
      <w:pPr>
        <w:spacing w:line="560" w:lineRule="exact"/>
        <w:ind w:firstLine="640" w:firstLineChars="200"/>
        <w:contextualSpacing/>
        <w:rPr>
          <w:rFonts w:hint="eastAsia" w:ascii="楷体_GB2312" w:eastAsia="楷体_GB2312"/>
          <w:b/>
          <w:sz w:val="32"/>
          <w:szCs w:val="32"/>
        </w:rPr>
      </w:pPr>
      <w:r>
        <w:rPr>
          <w:rFonts w:hint="eastAsia" w:ascii="仿宋_GB2312" w:eastAsia="仿宋_GB2312"/>
          <w:sz w:val="32"/>
          <w:szCs w:val="32"/>
        </w:rPr>
        <w:t>2018年度一般公共预算财政拨款总收入公共预算拨款收入5834.76万元，其中：基本支出收入1045.57万元，项目支出收入4789.19万元，较上年增加1147.16万元。增长原因一是节能环保污染防治新增煤改洁经费，二是新增行政单位离退费，三是大兴城管体制移交增加的保洁经费等。</w:t>
      </w:r>
    </w:p>
    <w:p>
      <w:pPr>
        <w:spacing w:line="560" w:lineRule="exact"/>
        <w:ind w:firstLine="640" w:firstLineChars="200"/>
        <w:contextualSpacing/>
        <w:rPr>
          <w:rFonts w:ascii="楷体_GB2312" w:eastAsia="楷体_GB2312"/>
          <w:b/>
          <w:sz w:val="32"/>
          <w:szCs w:val="32"/>
        </w:rPr>
      </w:pPr>
      <w:r>
        <w:rPr>
          <w:rFonts w:hint="eastAsia" w:ascii="仿宋_GB2312" w:eastAsia="仿宋_GB2312"/>
          <w:sz w:val="32"/>
          <w:szCs w:val="32"/>
        </w:rPr>
        <w:t>2018年度一般公共预算财政拨款支出5241.36万元，其中：基本支出1045.01万元，项目支出4196.35万元，较上年增加553.76万元。原因一是节能环保污染防治新增煤改洁经费205.49万元，二是大兴城管体制移交增加保洁经费1639.42万元，三是一般行政管理事务支出及基本政权和社区建设项目调整、专项经费减少支出1291.15万元。</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2.一般公共预算财政拨款支出决算具体情况。（按支出功能分类科目进行详细说明支出具体内容）</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 xml:space="preserve">（1）一般公共服务支出1249.26万元，较上年减少996.75万元。主要是2018年大兴城管体制移交经费列入城乡社区项目支出，在2017年列入公共服务支出。 </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（2）社会保障和就业支出836.89万元，较上年减少211.79万元。其中一是减少申请社区专项活动经费，二是减少基层政权市级补助资金。</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（3）医疗卫生与计划生育支出54.89万元，较上年增加8.58万元。主要是增加的纯独生子女保健经费与离休人员医疗保健费。</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（4）节能环保支出205.49万元，为节能环保污染防治新增煤改洁经费。</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（5）城乡社区支出2894.84万元，较上年增加1548.25万元。主要一是2018大兴城管体制移交经费列入城乡社区项目支出，而上年年列入公共服务支出。二是增加新增道路保洁经费。</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3.一般公共预算财政拨款基本支出决算情况（按人员经费和公用经费分别进行说明）。</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一般公共预算财政拨款基本支出1045.01万元，其中人员经费928.83万元，公用支出116.18万元。</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（1）基本支出中人员支出928.83万元，较上年减少98.16万元。主要是因人员调离及退休减少的支出。</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（2）基本支出中公用经费支出116.18万元，较上年增加30.88万元。主要是因搬新办公楼支出的办公费用。</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4.政府性基金预算财政拨款收入支出情况说明。</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（1）2018年度政府性基金预算财政拨款收入10000万元，较上年增加10000万元，增加原因是新增朱宏路景观提升项目，资金来源为市专项资金，具体用于朱宏路景观提升工作。</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2018年度政府性基金预算财政拨款支出10000万元，较上年增加10000万元，增加原因是新增朱宏路景观提升项目，资金来源为市专项资金，具体用于朱宏路景观提升工作。</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（2）政府性基金预算财政拨款支出具体情况。（按支出功能分类科目进行详细说明）</w:t>
      </w:r>
    </w:p>
    <w:p>
      <w:pPr>
        <w:spacing w:line="560" w:lineRule="exact"/>
        <w:ind w:firstLine="624" w:firstLineChars="200"/>
        <w:contextualSpacing/>
        <w:rPr>
          <w:rFonts w:ascii="仿宋_GB2312" w:eastAsia="仿宋_GB2312"/>
          <w:spacing w:val="-4"/>
          <w:sz w:val="32"/>
          <w:szCs w:val="32"/>
        </w:rPr>
      </w:pPr>
      <w:r>
        <w:rPr>
          <w:rFonts w:hint="eastAsia" w:ascii="仿宋_GB2312" w:eastAsia="仿宋_GB2312"/>
          <w:spacing w:val="-4"/>
          <w:sz w:val="32"/>
          <w:szCs w:val="32"/>
        </w:rPr>
        <w:t>城乡社区支出12894.84万元，较上年增加11548.25万元，主要原因一是2018大兴城管体制移交经费列入城乡社区项目支出，而上年年列入公共服务支出。二是增加新增道路保洁经费。以上增加支出1548.25万元。三是政府性基金预算财政拨款支出1000万元，较上年增加10000万元。主要是新增朱宏路景观提升项目，资金来源为市专项资金，具体用于朱宏路景观提升工作。</w:t>
      </w:r>
    </w:p>
    <w:p>
      <w:pPr>
        <w:spacing w:line="560" w:lineRule="exact"/>
        <w:ind w:firstLine="482" w:firstLineChars="150"/>
        <w:contextualSpacing/>
        <w:rPr>
          <w:rFonts w:ascii="楷体_GB2312" w:eastAsia="楷体_GB2312"/>
          <w:b/>
          <w:sz w:val="32"/>
          <w:szCs w:val="32"/>
        </w:rPr>
      </w:pPr>
      <w:r>
        <w:rPr>
          <w:rFonts w:hint="eastAsia" w:ascii="楷体_GB2312" w:eastAsia="楷体_GB2312"/>
          <w:b/>
          <w:sz w:val="32"/>
          <w:szCs w:val="32"/>
        </w:rPr>
        <w:t>（三）2018年度“三公”经费支出情况说明</w:t>
      </w:r>
    </w:p>
    <w:p>
      <w:pPr>
        <w:spacing w:line="560" w:lineRule="exact"/>
        <w:ind w:firstLine="624" w:firstLineChars="200"/>
        <w:contextualSpacing/>
        <w:rPr>
          <w:rFonts w:ascii="仿宋_GB2312" w:eastAsia="仿宋_GB2312"/>
          <w:sz w:val="32"/>
          <w:szCs w:val="32"/>
        </w:rPr>
      </w:pPr>
      <w:r>
        <w:rPr>
          <w:rFonts w:hint="eastAsia" w:ascii="仿宋_GB2312" w:eastAsia="仿宋_GB2312"/>
          <w:spacing w:val="-4"/>
          <w:sz w:val="32"/>
          <w:szCs w:val="32"/>
        </w:rPr>
        <w:t>2018年度一般公共预算财政拨款安排的“三公”经费支出中，因公出国（境）费支出</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万元，占“三公”经费的</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%；公务接待费支出</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万元，占“三公”经费的</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%；公务用车购置及运行维护费支出</w:t>
      </w:r>
      <w:r>
        <w:rPr>
          <w:rFonts w:hint="eastAsia" w:ascii="仿宋_GB2312" w:eastAsia="仿宋_GB2312"/>
          <w:spacing w:val="-4"/>
          <w:sz w:val="32"/>
          <w:szCs w:val="32"/>
          <w:lang w:val="en-US" w:eastAsia="zh-CN"/>
        </w:rPr>
        <w:t>5</w:t>
      </w:r>
      <w:r>
        <w:rPr>
          <w:rFonts w:hint="eastAsia" w:ascii="仿宋_GB2312" w:eastAsia="仿宋_GB2312"/>
          <w:spacing w:val="-4"/>
          <w:sz w:val="32"/>
          <w:szCs w:val="32"/>
        </w:rPr>
        <w:t>万元，占“三公”经费的</w:t>
      </w:r>
      <w:r>
        <w:rPr>
          <w:rFonts w:hint="eastAsia" w:ascii="仿宋_GB2312" w:eastAsia="仿宋_GB2312"/>
          <w:spacing w:val="-4"/>
          <w:sz w:val="32"/>
          <w:szCs w:val="32"/>
          <w:lang w:val="en-US" w:eastAsia="zh-CN"/>
        </w:rPr>
        <w:t>100</w:t>
      </w:r>
      <w:r>
        <w:rPr>
          <w:rFonts w:hint="eastAsia" w:ascii="仿宋_GB2312" w:eastAsia="仿宋_GB2312"/>
          <w:spacing w:val="-4"/>
          <w:sz w:val="32"/>
          <w:szCs w:val="32"/>
        </w:rPr>
        <w:t>%。具体情况如下：</w:t>
      </w:r>
    </w:p>
    <w:p>
      <w:p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1．因公出国（境）费支出</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万元，比上年决算增加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万元；比当年预算增加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万元。全年使用一般公共预算财政拨款安排的出国（境）团组</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个，累计</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人次。</w:t>
      </w:r>
    </w:p>
    <w:p>
      <w:p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2．公务接待费支出</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万元，比上年决算增加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万元，比当年预算增加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万元。全年使用一般公共预算财政拨款安排的公务接待</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批次，</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人次。</w:t>
      </w:r>
    </w:p>
    <w:p>
      <w:pPr>
        <w:spacing w:line="560" w:lineRule="exact"/>
        <w:ind w:firstLine="624" w:firstLineChars="200"/>
        <w:contextualSpacing/>
        <w:rPr>
          <w:rFonts w:hint="eastAsia" w:ascii="仿宋_GB2312" w:eastAsia="仿宋_GB2312"/>
          <w:spacing w:val="-4"/>
          <w:sz w:val="32"/>
          <w:szCs w:val="32"/>
        </w:rPr>
      </w:pPr>
      <w:bookmarkStart w:id="0" w:name="_GoBack"/>
      <w:bookmarkEnd w:id="0"/>
      <w:r>
        <w:rPr>
          <w:rFonts w:hint="eastAsia" w:ascii="仿宋_GB2312" w:eastAsia="仿宋_GB2312"/>
          <w:spacing w:val="-4"/>
          <w:sz w:val="32"/>
          <w:szCs w:val="32"/>
        </w:rPr>
        <w:t>3．公务用车购置及运行费支出</w:t>
      </w:r>
      <w:r>
        <w:rPr>
          <w:rFonts w:hint="eastAsia" w:ascii="仿宋_GB2312" w:eastAsia="仿宋_GB2312"/>
          <w:spacing w:val="-4"/>
          <w:sz w:val="32"/>
          <w:szCs w:val="32"/>
          <w:lang w:val="en-US" w:eastAsia="zh-CN"/>
        </w:rPr>
        <w:t>5</w:t>
      </w:r>
      <w:r>
        <w:rPr>
          <w:rFonts w:hint="eastAsia" w:ascii="仿宋_GB2312" w:eastAsia="仿宋_GB2312"/>
          <w:spacing w:val="-4"/>
          <w:sz w:val="32"/>
          <w:szCs w:val="32"/>
        </w:rPr>
        <w:t>万元。其中：</w:t>
      </w:r>
    </w:p>
    <w:p>
      <w:p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（1）公务用车购置支出</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万元，比上年决算增加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万元，比当年预算增加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万元。本年度使用一般公共预算财政拨款购置公务用车</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辆。</w:t>
      </w:r>
    </w:p>
    <w:p>
      <w:p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（2）公务用车运行维护费支出</w:t>
      </w:r>
      <w:r>
        <w:rPr>
          <w:rFonts w:hint="eastAsia" w:ascii="仿宋_GB2312" w:eastAsia="仿宋_GB2312"/>
          <w:spacing w:val="-4"/>
          <w:sz w:val="32"/>
          <w:szCs w:val="32"/>
          <w:lang w:val="en-US" w:eastAsia="zh-CN"/>
        </w:rPr>
        <w:t>5</w:t>
      </w:r>
      <w:r>
        <w:rPr>
          <w:rFonts w:hint="eastAsia" w:ascii="仿宋_GB2312" w:eastAsia="仿宋_GB2312"/>
          <w:spacing w:val="-4"/>
          <w:sz w:val="32"/>
          <w:szCs w:val="32"/>
        </w:rPr>
        <w:t>万元，比上年决算增加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万元，主要原因为2018年使用一般公务预算拨款开支维护费的公务用车保有量2量，与上年持平。比当年预算增加</w:t>
      </w:r>
      <w:r>
        <w:rPr>
          <w:rFonts w:hint="eastAsia" w:ascii="仿宋_GB2312" w:eastAsia="仿宋_GB2312"/>
          <w:spacing w:val="-4"/>
          <w:sz w:val="32"/>
          <w:szCs w:val="32"/>
          <w:lang w:val="en-US" w:eastAsia="zh-CN"/>
        </w:rPr>
        <w:t>0</w:t>
      </w:r>
      <w:r>
        <w:rPr>
          <w:rFonts w:hint="eastAsia" w:ascii="仿宋_GB2312" w:eastAsia="仿宋_GB2312"/>
          <w:spacing w:val="-4"/>
          <w:sz w:val="32"/>
          <w:szCs w:val="32"/>
        </w:rPr>
        <w:t>万元</w:t>
      </w:r>
      <w:r>
        <w:rPr>
          <w:rFonts w:hint="eastAsia" w:ascii="仿宋_GB2312" w:eastAsia="仿宋_GB2312"/>
          <w:spacing w:val="-4"/>
          <w:sz w:val="32"/>
          <w:szCs w:val="32"/>
          <w:lang w:eastAsia="zh-CN"/>
        </w:rPr>
        <w:t>，主要原因为车辆数无变化，</w:t>
      </w:r>
      <w:r>
        <w:rPr>
          <w:rFonts w:hint="eastAsia" w:ascii="仿宋_GB2312" w:eastAsia="仿宋_GB2312"/>
          <w:spacing w:val="-4"/>
          <w:sz w:val="32"/>
          <w:szCs w:val="32"/>
        </w:rPr>
        <w:t>2018年度使用一般公共预算财政拨款开支维护费的公务用车保有量</w:t>
      </w:r>
      <w:r>
        <w:rPr>
          <w:rFonts w:hint="eastAsia" w:ascii="仿宋_GB2312" w:eastAsia="仿宋_GB2312"/>
          <w:spacing w:val="-4"/>
          <w:sz w:val="32"/>
          <w:szCs w:val="32"/>
          <w:lang w:val="en-US" w:eastAsia="zh-CN"/>
        </w:rPr>
        <w:t>2</w:t>
      </w:r>
      <w:r>
        <w:rPr>
          <w:rFonts w:hint="eastAsia" w:ascii="仿宋_GB2312" w:eastAsia="仿宋_GB2312"/>
          <w:spacing w:val="-4"/>
          <w:sz w:val="32"/>
          <w:szCs w:val="32"/>
        </w:rPr>
        <w:t>辆。</w:t>
      </w:r>
    </w:p>
    <w:p>
      <w:p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4．会议费支出情况。</w:t>
      </w:r>
    </w:p>
    <w:p>
      <w:pPr>
        <w:spacing w:line="560" w:lineRule="exact"/>
        <w:ind w:firstLine="624" w:firstLineChars="200"/>
        <w:contextualSpacing/>
        <w:rPr>
          <w:rFonts w:hint="default" w:ascii="仿宋_GB2312" w:eastAsia="仿宋_GB2312"/>
          <w:spacing w:val="-4"/>
          <w:sz w:val="32"/>
          <w:szCs w:val="32"/>
          <w:lang w:val="en-US" w:eastAsia="zh-CN"/>
        </w:rPr>
      </w:pPr>
      <w:r>
        <w:rPr>
          <w:rFonts w:hint="eastAsia" w:ascii="仿宋_GB2312" w:eastAsia="仿宋_GB2312"/>
          <w:spacing w:val="-4"/>
          <w:sz w:val="32"/>
          <w:szCs w:val="32"/>
          <w:lang w:val="en-US" w:eastAsia="zh-CN"/>
        </w:rPr>
        <w:t xml:space="preserve">  2018年无会议费支出</w:t>
      </w:r>
    </w:p>
    <w:p>
      <w:pPr>
        <w:numPr>
          <w:ilvl w:val="0"/>
          <w:numId w:val="1"/>
        </w:numPr>
        <w:spacing w:line="560" w:lineRule="exact"/>
        <w:ind w:firstLine="624" w:firstLineChars="200"/>
        <w:contextualSpacing/>
        <w:rPr>
          <w:rFonts w:hint="eastAsia" w:ascii="仿宋_GB2312" w:eastAsia="仿宋_GB2312"/>
          <w:spacing w:val="-4"/>
          <w:sz w:val="32"/>
          <w:szCs w:val="32"/>
        </w:rPr>
      </w:pPr>
      <w:r>
        <w:rPr>
          <w:rFonts w:hint="eastAsia" w:ascii="仿宋_GB2312" w:eastAsia="仿宋_GB2312"/>
          <w:spacing w:val="-4"/>
          <w:sz w:val="32"/>
          <w:szCs w:val="32"/>
        </w:rPr>
        <w:t>培训费支出情况。</w:t>
      </w:r>
    </w:p>
    <w:p>
      <w:pPr>
        <w:numPr>
          <w:ilvl w:val="0"/>
          <w:numId w:val="0"/>
        </w:numPr>
        <w:spacing w:line="560" w:lineRule="exact"/>
        <w:contextualSpacing/>
        <w:rPr>
          <w:rFonts w:hint="default" w:ascii="仿宋_GB2312" w:eastAsia="仿宋_GB2312"/>
          <w:spacing w:val="-4"/>
          <w:sz w:val="32"/>
          <w:szCs w:val="32"/>
          <w:lang w:val="en-US" w:eastAsia="zh-CN"/>
        </w:rPr>
      </w:pPr>
      <w:r>
        <w:rPr>
          <w:rFonts w:hint="eastAsia" w:ascii="仿宋_GB2312" w:eastAsia="仿宋_GB2312"/>
          <w:spacing w:val="-4"/>
          <w:sz w:val="32"/>
          <w:szCs w:val="32"/>
          <w:lang w:val="en-US" w:eastAsia="zh-CN"/>
        </w:rPr>
        <w:t xml:space="preserve">      2018年无培训费支出。</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（四）政府采购支出情况</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2018年度政府采购2169万元，主要用于购买保洁外包服务支出。</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（五）重点项目预算的绩效评价情况（有则填，无则不填）</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无</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（六）机构运行经费支出情况说明及增减变化原因</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机构运行经费支出116.18万元，较上年增加30.88万元，主要是街办办公地址的搬迁增加的运行经费。</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（七）国有资产占用及购置情况说明</w:t>
      </w:r>
    </w:p>
    <w:p>
      <w:pPr>
        <w:spacing w:line="560" w:lineRule="exact"/>
        <w:ind w:firstLine="624" w:firstLineChars="200"/>
        <w:contextualSpacing/>
        <w:rPr>
          <w:rFonts w:ascii="楷体_GB2312" w:eastAsia="楷体_GB2312"/>
          <w:spacing w:val="-4"/>
          <w:sz w:val="32"/>
          <w:szCs w:val="32"/>
        </w:rPr>
      </w:pPr>
      <w:r>
        <w:rPr>
          <w:rFonts w:hint="eastAsia" w:ascii="仿宋_GB2312" w:eastAsia="仿宋_GB2312"/>
          <w:spacing w:val="-4"/>
          <w:sz w:val="32"/>
          <w:szCs w:val="32"/>
        </w:rPr>
        <w:t>截至2018年末，本部门所属单位共有车辆52辆，基中公用用车2车辆，城管执法用车11辆，垃圾压缩车15辆，洒水车2辆，保洁三轮车22辆；单价50万元以上的通用设备2辆，为垃圾压缩车。2018年新增量8辆垃圾压缩车，其中区城管局统一安排购置2辆，下拨6辆；无购置单价在100万元以上的通用设备。</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（八）国有资本经营财政拨款收支情况说明</w:t>
      </w:r>
    </w:p>
    <w:p>
      <w:pPr>
        <w:spacing w:line="560" w:lineRule="exact"/>
        <w:ind w:firstLine="640" w:firstLineChars="200"/>
        <w:contextualSpacing/>
        <w:rPr>
          <w:rFonts w:ascii="楷体_GB2312" w:eastAsia="楷体_GB2312"/>
          <w:sz w:val="32"/>
          <w:szCs w:val="32"/>
        </w:rPr>
      </w:pPr>
      <w:r>
        <w:rPr>
          <w:rFonts w:hint="eastAsia" w:ascii="仿宋_GB2312" w:eastAsia="仿宋_GB2312"/>
          <w:sz w:val="32"/>
          <w:szCs w:val="32"/>
        </w:rPr>
        <w:t>本部门无国有资本经营财政拨款收支</w:t>
      </w:r>
    </w:p>
    <w:p>
      <w:pPr>
        <w:spacing w:line="560" w:lineRule="exact"/>
        <w:ind w:firstLine="643" w:firstLineChars="200"/>
        <w:contextualSpacing/>
        <w:rPr>
          <w:rFonts w:ascii="楷体_GB2312" w:eastAsia="楷体_GB2312"/>
          <w:b/>
          <w:sz w:val="32"/>
          <w:szCs w:val="32"/>
        </w:rPr>
      </w:pPr>
      <w:r>
        <w:rPr>
          <w:rFonts w:hint="eastAsia" w:ascii="楷体_GB2312" w:eastAsia="楷体_GB2312"/>
          <w:b/>
          <w:sz w:val="32"/>
          <w:szCs w:val="32"/>
        </w:rPr>
        <w:t>（九）专业名词解释</w:t>
      </w:r>
    </w:p>
    <w:p>
      <w:pPr>
        <w:spacing w:line="560" w:lineRule="exact"/>
        <w:ind w:firstLine="643" w:firstLineChars="200"/>
        <w:contextualSpacing/>
        <w:rPr>
          <w:rFonts w:ascii="楷体_GB2312" w:eastAsia="楷体_GB2312"/>
          <w:sz w:val="32"/>
          <w:szCs w:val="32"/>
        </w:rPr>
      </w:pPr>
      <w:r>
        <w:rPr>
          <w:rFonts w:hint="eastAsia" w:ascii="仿宋_GB2312" w:eastAsia="仿宋_GB2312"/>
          <w:b/>
          <w:sz w:val="32"/>
          <w:szCs w:val="32"/>
        </w:rPr>
        <w:t>1.三公经费：</w:t>
      </w:r>
      <w:r>
        <w:rPr>
          <w:rFonts w:hint="eastAsia" w:ascii="仿宋_GB2312" w:eastAsia="仿宋_GB2312"/>
          <w:sz w:val="32"/>
          <w:szCs w:val="32"/>
        </w:rPr>
        <w:t>三公经费是指单位各部门的因公出国（境）、公务用车购置及运行维护费、公务接待费、公务接待费、会议费、培训费的支出。</w:t>
      </w:r>
    </w:p>
    <w:p>
      <w:pPr>
        <w:spacing w:line="560" w:lineRule="exact"/>
        <w:ind w:firstLine="643" w:firstLineChars="200"/>
        <w:contextualSpacing/>
        <w:rPr>
          <w:rFonts w:ascii="楷体_GB2312" w:eastAsia="楷体_GB2312"/>
          <w:sz w:val="32"/>
          <w:szCs w:val="32"/>
        </w:rPr>
      </w:pPr>
      <w:r>
        <w:rPr>
          <w:rFonts w:hint="eastAsia" w:ascii="仿宋_GB2312" w:eastAsia="仿宋_GB2312"/>
          <w:b/>
          <w:sz w:val="32"/>
          <w:szCs w:val="32"/>
        </w:rPr>
        <w:t>2.机关运行经费：</w:t>
      </w:r>
      <w:r>
        <w:rPr>
          <w:rFonts w:hint="eastAsia" w:ascii="仿宋_GB2312" w:eastAsia="仿宋_GB2312"/>
          <w:sz w:val="32"/>
          <w:szCs w:val="32"/>
        </w:rPr>
        <w:t>机关运行经费是指各部门的公用经费，包括办公及印刷费、邮电费、差旅费、会议费、福利费、日常维修费、专用材料及一般设备购置费、办公用房水电费、办公取暖费、办公用房物业管理费、公务用车运行维护费以及其他费用。</w:t>
      </w:r>
    </w:p>
    <w:p>
      <w:pPr>
        <w:spacing w:line="560" w:lineRule="exact"/>
        <w:ind w:firstLine="643" w:firstLineChars="200"/>
        <w:contextualSpacing/>
        <w:rPr>
          <w:rFonts w:ascii="楷体_GB2312" w:eastAsia="楷体_GB2312"/>
          <w:sz w:val="32"/>
          <w:szCs w:val="32"/>
        </w:rPr>
      </w:pPr>
      <w:r>
        <w:rPr>
          <w:rFonts w:hint="eastAsia" w:ascii="仿宋_GB2312" w:eastAsia="仿宋_GB2312"/>
          <w:b/>
          <w:sz w:val="32"/>
          <w:szCs w:val="32"/>
        </w:rPr>
        <w:t>3.基本支出：</w:t>
      </w:r>
      <w:r>
        <w:rPr>
          <w:rFonts w:hint="eastAsia" w:ascii="仿宋_GB2312" w:eastAsia="仿宋_GB2312"/>
          <w:sz w:val="32"/>
          <w:szCs w:val="32"/>
        </w:rPr>
        <w:t>主要是为保障机构正常运转、完成日常工作任务而发生的各项支出。包括人员支出和商品服务支出。人员支出主要包括基本工资、津贴补贴；商品服务支出包括办公用品及耗材的购置、维修费、印刷费、水费、电费、车辆运行经费等支出。</w:t>
      </w:r>
    </w:p>
    <w:p>
      <w:pPr>
        <w:spacing w:line="560" w:lineRule="exact"/>
        <w:ind w:firstLine="643" w:firstLineChars="200"/>
        <w:contextualSpacing/>
        <w:rPr>
          <w:rFonts w:ascii="楷体_GB2312" w:eastAsia="楷体_GB2312"/>
          <w:sz w:val="32"/>
          <w:szCs w:val="32"/>
        </w:rPr>
      </w:pPr>
      <w:r>
        <w:rPr>
          <w:rFonts w:hint="eastAsia" w:ascii="仿宋_GB2312" w:eastAsia="仿宋_GB2312"/>
          <w:b/>
          <w:sz w:val="32"/>
          <w:szCs w:val="32"/>
        </w:rPr>
        <w:t>4.项目支出：</w:t>
      </w:r>
      <w:r>
        <w:rPr>
          <w:rFonts w:hint="eastAsia" w:ascii="仿宋_GB2312" w:eastAsia="仿宋_GB2312"/>
          <w:sz w:val="32"/>
          <w:szCs w:val="32"/>
        </w:rPr>
        <w:t>主要是为完成特定的行政工作任务或事业发展目标，在基本支出之外发生的支出，包括社区居委会人员、社区专职人员、办公、社区党建及专项经费项目，计划生育服务费，城乡公厕、保洁员人员及房屋租赁、城管协管员支出，街办劳司、临聘人员、纪检干部工作经费、大兴城管移交人员及车辆经费等支出，城管执法中队办公及车辆经费支出，辖区城市治理及环境卫生整治支出。</w:t>
      </w:r>
    </w:p>
    <w:sectPr>
      <w:footerReference r:id="rId3" w:type="default"/>
      <w:pgSz w:w="11906" w:h="16838"/>
      <w:pgMar w:top="1985" w:right="1474" w:bottom="1814" w:left="1474"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A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570210"/>
      <w:docPartObj>
        <w:docPartGallery w:val="autotext"/>
      </w:docPartObj>
    </w:sdtPr>
    <w:sdtEndPr>
      <w:rPr>
        <w:rFonts w:asciiTheme="minorEastAsia" w:hAnsiTheme="minorEastAsia" w:eastAsiaTheme="minorEastAsia"/>
        <w:sz w:val="24"/>
        <w:szCs w:val="24"/>
      </w:rPr>
    </w:sdtEndPr>
    <w:sdtContent>
      <w:p>
        <w:pPr>
          <w:pStyle w:val="3"/>
          <w:jc w:val="right"/>
        </w:pP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   \* MERGEFORMAT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lang w:val="zh-CN"/>
          </w:rPr>
          <w:t>-</w:t>
        </w:r>
        <w:r>
          <w:rPr>
            <w:rFonts w:asciiTheme="minorEastAsia" w:hAnsiTheme="minorEastAsia" w:eastAsiaTheme="minorEastAsia"/>
            <w:sz w:val="24"/>
            <w:szCs w:val="24"/>
          </w:rPr>
          <w:t xml:space="preserve"> 9 -</w:t>
        </w:r>
        <w:r>
          <w:rPr>
            <w:rFonts w:asciiTheme="minorEastAsia" w:hAnsiTheme="minorEastAsia" w:eastAsiaTheme="minorEastAsia"/>
            <w:sz w:val="24"/>
            <w:szCs w:val="24"/>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56A2FE"/>
    <w:multiLevelType w:val="singleLevel"/>
    <w:tmpl w:val="D356A2FE"/>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52D70"/>
    <w:rsid w:val="000766FB"/>
    <w:rsid w:val="00081C56"/>
    <w:rsid w:val="000A2C3E"/>
    <w:rsid w:val="000A5014"/>
    <w:rsid w:val="000B4E80"/>
    <w:rsid w:val="00100091"/>
    <w:rsid w:val="001021B2"/>
    <w:rsid w:val="00124CC5"/>
    <w:rsid w:val="00130C34"/>
    <w:rsid w:val="00165F33"/>
    <w:rsid w:val="001E1F6D"/>
    <w:rsid w:val="001E3102"/>
    <w:rsid w:val="001F54A0"/>
    <w:rsid w:val="00214AF8"/>
    <w:rsid w:val="002266A9"/>
    <w:rsid w:val="002676FD"/>
    <w:rsid w:val="002B0C48"/>
    <w:rsid w:val="002B3294"/>
    <w:rsid w:val="00323B43"/>
    <w:rsid w:val="003303B7"/>
    <w:rsid w:val="003A0760"/>
    <w:rsid w:val="003D37D8"/>
    <w:rsid w:val="004015B6"/>
    <w:rsid w:val="00420777"/>
    <w:rsid w:val="00426133"/>
    <w:rsid w:val="0042756E"/>
    <w:rsid w:val="00430942"/>
    <w:rsid w:val="004358AB"/>
    <w:rsid w:val="004604DB"/>
    <w:rsid w:val="00487277"/>
    <w:rsid w:val="00490EA1"/>
    <w:rsid w:val="004958F3"/>
    <w:rsid w:val="0051485B"/>
    <w:rsid w:val="006425DF"/>
    <w:rsid w:val="006B44E4"/>
    <w:rsid w:val="006B7D18"/>
    <w:rsid w:val="007317A4"/>
    <w:rsid w:val="00781DE1"/>
    <w:rsid w:val="007A5C7F"/>
    <w:rsid w:val="007F01B9"/>
    <w:rsid w:val="00880C4C"/>
    <w:rsid w:val="00885AED"/>
    <w:rsid w:val="00892346"/>
    <w:rsid w:val="008B7726"/>
    <w:rsid w:val="008F03FA"/>
    <w:rsid w:val="008F2269"/>
    <w:rsid w:val="008F55B0"/>
    <w:rsid w:val="00A72BB7"/>
    <w:rsid w:val="00A80A46"/>
    <w:rsid w:val="00AB4516"/>
    <w:rsid w:val="00B53370"/>
    <w:rsid w:val="00B559A5"/>
    <w:rsid w:val="00B74780"/>
    <w:rsid w:val="00B86D99"/>
    <w:rsid w:val="00BA76FB"/>
    <w:rsid w:val="00BB063B"/>
    <w:rsid w:val="00C228CD"/>
    <w:rsid w:val="00C47A4D"/>
    <w:rsid w:val="00C633F9"/>
    <w:rsid w:val="00CC5A99"/>
    <w:rsid w:val="00CE2138"/>
    <w:rsid w:val="00CE5745"/>
    <w:rsid w:val="00D3024E"/>
    <w:rsid w:val="00D31D50"/>
    <w:rsid w:val="00D34EDF"/>
    <w:rsid w:val="00D5086D"/>
    <w:rsid w:val="00D50A03"/>
    <w:rsid w:val="00DA3506"/>
    <w:rsid w:val="00DD1AED"/>
    <w:rsid w:val="00E21F8F"/>
    <w:rsid w:val="00E2764C"/>
    <w:rsid w:val="00E4162B"/>
    <w:rsid w:val="00E554B5"/>
    <w:rsid w:val="00EB1F51"/>
    <w:rsid w:val="00EF09DD"/>
    <w:rsid w:val="00F23AE6"/>
    <w:rsid w:val="00F440BA"/>
    <w:rsid w:val="00F624EB"/>
    <w:rsid w:val="00F65D19"/>
    <w:rsid w:val="00F76577"/>
    <w:rsid w:val="00F92EE1"/>
    <w:rsid w:val="00FE1C1E"/>
    <w:rsid w:val="00FE5090"/>
    <w:rsid w:val="1D4F5144"/>
    <w:rsid w:val="3A821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pPr>
      <w:spacing w:after="0"/>
    </w:pPr>
    <w:rPr>
      <w:sz w:val="18"/>
      <w:szCs w:val="18"/>
    </w:rPr>
  </w:style>
  <w:style w:type="paragraph" w:styleId="3">
    <w:name w:val="footer"/>
    <w:basedOn w:val="1"/>
    <w:link w:val="10"/>
    <w:unhideWhenUsed/>
    <w:qFormat/>
    <w:uiPriority w:val="99"/>
    <w:pPr>
      <w:tabs>
        <w:tab w:val="center" w:pos="4153"/>
        <w:tab w:val="right" w:pos="8306"/>
      </w:tabs>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7">
    <w:name w:val="Table Grid"/>
    <w:basedOn w:val="6"/>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rFonts w:ascii="Tahoma" w:hAnsi="Tahoma"/>
      <w:sz w:val="18"/>
      <w:szCs w:val="18"/>
    </w:rPr>
  </w:style>
  <w:style w:type="character" w:customStyle="1" w:styleId="10">
    <w:name w:val="页脚 Char"/>
    <w:basedOn w:val="8"/>
    <w:link w:val="3"/>
    <w:uiPriority w:val="99"/>
    <w:rPr>
      <w:rFonts w:ascii="Tahoma" w:hAnsi="Tahoma"/>
      <w:sz w:val="18"/>
      <w:szCs w:val="18"/>
    </w:rPr>
  </w:style>
  <w:style w:type="paragraph" w:customStyle="1" w:styleId="11">
    <w:name w:val="无间隔1"/>
    <w:qFormat/>
    <w:uiPriority w:val="0"/>
    <w:pPr>
      <w:adjustRightInd w:val="0"/>
      <w:snapToGrid w:val="0"/>
      <w:spacing w:after="0" w:line="240" w:lineRule="auto"/>
    </w:pPr>
    <w:rPr>
      <w:rFonts w:ascii="Tahoma" w:hAnsi="Tahoma" w:eastAsia="微软雅黑" w:cs="Times New Roman"/>
      <w:sz w:val="22"/>
      <w:szCs w:val="22"/>
      <w:lang w:val="en-US" w:eastAsia="zh-CN" w:bidi="ar-SA"/>
    </w:rPr>
  </w:style>
  <w:style w:type="character" w:customStyle="1" w:styleId="12">
    <w:name w:val="article_f14"/>
    <w:basedOn w:val="8"/>
    <w:qFormat/>
    <w:uiPriority w:val="0"/>
  </w:style>
  <w:style w:type="character" w:customStyle="1" w:styleId="13">
    <w:name w:val="批注框文本 Char"/>
    <w:basedOn w:val="8"/>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编制人员</c:v>
                </c:pt>
              </c:strCache>
            </c:strRef>
          </c:tx>
          <c:invertIfNegative val="0"/>
          <c:dLbls>
            <c:delete val="1"/>
          </c:dLbls>
          <c:cat>
            <c:strRef>
              <c:f>Sheet1!$A$2:$A$3</c:f>
              <c:strCache>
                <c:ptCount val="2"/>
                <c:pt idx="0">
                  <c:v>红庙坡行政人员</c:v>
                </c:pt>
                <c:pt idx="1">
                  <c:v>红庙坡事业人员</c:v>
                </c:pt>
              </c:strCache>
            </c:strRef>
          </c:cat>
          <c:val>
            <c:numRef>
              <c:f>Sheet1!$B$2:$B$3</c:f>
              <c:numCache>
                <c:formatCode>General</c:formatCode>
                <c:ptCount val="2"/>
                <c:pt idx="0">
                  <c:v>52</c:v>
                </c:pt>
                <c:pt idx="1">
                  <c:v>68</c:v>
                </c:pt>
              </c:numCache>
            </c:numRef>
          </c:val>
        </c:ser>
        <c:ser>
          <c:idx val="1"/>
          <c:order val="1"/>
          <c:tx>
            <c:strRef>
              <c:f>Sheet1!$C$1</c:f>
              <c:strCache>
                <c:ptCount val="1"/>
                <c:pt idx="0">
                  <c:v>实有人数</c:v>
                </c:pt>
              </c:strCache>
            </c:strRef>
          </c:tx>
          <c:invertIfNegative val="0"/>
          <c:dLbls>
            <c:delete val="1"/>
          </c:dLbls>
          <c:cat>
            <c:strRef>
              <c:f>Sheet1!$A$2:$A$3</c:f>
              <c:strCache>
                <c:ptCount val="2"/>
                <c:pt idx="0">
                  <c:v>红庙坡行政人员</c:v>
                </c:pt>
                <c:pt idx="1">
                  <c:v>红庙坡事业人员</c:v>
                </c:pt>
              </c:strCache>
            </c:strRef>
          </c:cat>
          <c:val>
            <c:numRef>
              <c:f>Sheet1!$C$2:$C$3</c:f>
              <c:numCache>
                <c:formatCode>General</c:formatCode>
                <c:ptCount val="2"/>
                <c:pt idx="0">
                  <c:v>47</c:v>
                </c:pt>
                <c:pt idx="1">
                  <c:v>42</c:v>
                </c:pt>
              </c:numCache>
            </c:numRef>
          </c:val>
        </c:ser>
        <c:dLbls>
          <c:showLegendKey val="0"/>
          <c:showVal val="0"/>
          <c:showCatName val="0"/>
          <c:showSerName val="0"/>
          <c:showPercent val="0"/>
          <c:showBubbleSize val="0"/>
        </c:dLbls>
        <c:gapWidth val="150"/>
        <c:axId val="32266880"/>
        <c:axId val="33252480"/>
      </c:barChart>
      <c:catAx>
        <c:axId val="3226688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3252480"/>
        <c:crosses val="autoZero"/>
        <c:auto val="1"/>
        <c:lblAlgn val="ctr"/>
        <c:lblOffset val="100"/>
        <c:noMultiLvlLbl val="0"/>
      </c:catAx>
      <c:valAx>
        <c:axId val="332524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26688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366134-A143-4EAB-8FA0-CE46949BDEE4}">
  <ds:schemaRefs/>
</ds:datastoreItem>
</file>

<file path=docProps/app.xml><?xml version="1.0" encoding="utf-8"?>
<Properties xmlns="http://schemas.openxmlformats.org/officeDocument/2006/extended-properties" xmlns:vt="http://schemas.openxmlformats.org/officeDocument/2006/docPropsVTypes">
  <Template>Normal</Template>
  <Pages>11</Pages>
  <Words>830</Words>
  <Characters>4735</Characters>
  <Lines>39</Lines>
  <Paragraphs>11</Paragraphs>
  <TotalTime>5</TotalTime>
  <ScaleCrop>false</ScaleCrop>
  <LinksUpToDate>false</LinksUpToDate>
  <CharactersWithSpaces>5554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2021-05-28T05:50:05Z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