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framePr w:w="857" w:h="403" w:wrap="auto" w:vAnchor="margin" w:hAnchor="page" w:x="1800" w:y="1"/>
        <w:widowControl w:val="0"/>
        <w:shd w:val="clear" w:color="auto" w:fill="auto"/>
        <w:bidi w:val="0"/>
        <w:spacing w:before="0" w:after="0" w:line="240" w:lineRule="auto"/>
        <w:ind w:left="0" w:right="0" w:firstLine="0"/>
        <w:jc w:val="both"/>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pStyle w:val="18"/>
        <w:keepNext w:val="0"/>
        <w:keepLines w:val="0"/>
        <w:framePr w:w="8679" w:h="2226" w:wrap="auto" w:vAnchor="margin" w:hAnchor="page" w:x="1631" w:y="1520"/>
        <w:widowControl w:val="0"/>
        <w:shd w:val="clear" w:color="auto" w:fill="auto"/>
        <w:bidi w:val="0"/>
        <w:spacing w:before="0" w:after="0" w:line="240" w:lineRule="auto"/>
        <w:ind w:left="0" w:right="0" w:firstLine="0"/>
        <w:jc w:val="center"/>
        <w:rPr>
          <w:rFonts w:hint="eastAsia" w:eastAsia="宋体"/>
          <w:lang w:eastAsia="zh-CN"/>
        </w:rPr>
      </w:pPr>
      <w:r>
        <w:rPr>
          <w:rFonts w:hint="eastAsia"/>
          <w:color w:val="000000"/>
          <w:spacing w:val="0"/>
          <w:w w:val="100"/>
          <w:position w:val="0"/>
          <w:lang w:eastAsia="zh-CN"/>
        </w:rPr>
        <w:t>中国共产党</w:t>
      </w:r>
      <w:r>
        <w:rPr>
          <w:color w:val="000000"/>
          <w:spacing w:val="0"/>
          <w:w w:val="100"/>
          <w:position w:val="0"/>
        </w:rPr>
        <w:t>西安市</w:t>
      </w:r>
      <w:r>
        <w:rPr>
          <w:rFonts w:hint="eastAsia" w:ascii="Times New Roman" w:hAnsi="Times New Roman" w:cs="Times New Roman"/>
          <w:color w:val="000000"/>
          <w:spacing w:val="0"/>
          <w:w w:val="100"/>
          <w:position w:val="0"/>
          <w:sz w:val="48"/>
          <w:szCs w:val="48"/>
          <w:lang w:eastAsia="zh-CN"/>
        </w:rPr>
        <w:t>莲湖区纪律检查委员会</w:t>
      </w:r>
    </w:p>
    <w:p>
      <w:pPr>
        <w:pStyle w:val="18"/>
        <w:keepNext w:val="0"/>
        <w:keepLines w:val="0"/>
        <w:framePr w:w="8679" w:h="2226" w:wrap="auto" w:vAnchor="margin" w:hAnchor="page" w:x="1631" w:y="152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sz w:val="48"/>
          <w:szCs w:val="48"/>
        </w:rPr>
        <w:t>2019</w:t>
      </w:r>
      <w:r>
        <w:rPr>
          <w:color w:val="000000"/>
          <w:spacing w:val="0"/>
          <w:w w:val="100"/>
          <w:position w:val="0"/>
        </w:rPr>
        <w:t>年度部门决算</w:t>
      </w:r>
    </w:p>
    <w:p>
      <w:pPr>
        <w:pStyle w:val="14"/>
        <w:keepNext w:val="0"/>
        <w:keepLines w:val="0"/>
        <w:framePr w:w="3411" w:h="688" w:wrap="auto" w:vAnchor="margin" w:hAnchor="page" w:x="3759" w:y="10196"/>
        <w:widowControl w:val="0"/>
        <w:shd w:val="clear" w:color="auto" w:fill="auto"/>
        <w:bidi w:val="0"/>
        <w:spacing w:before="0" w:after="0" w:line="240" w:lineRule="auto"/>
        <w:ind w:left="0" w:right="0" w:firstLine="0"/>
        <w:jc w:val="both"/>
        <w:rPr>
          <w:rFonts w:hint="eastAsia" w:eastAsia="宋体"/>
          <w:sz w:val="30"/>
          <w:szCs w:val="30"/>
          <w:lang w:val="en-US" w:eastAsia="zh-CN"/>
        </w:rPr>
      </w:pPr>
      <w:r>
        <w:rPr>
          <w:color w:val="000000"/>
          <w:spacing w:val="0"/>
          <w:w w:val="100"/>
          <w:position w:val="0"/>
          <w:sz w:val="30"/>
          <w:szCs w:val="30"/>
        </w:rPr>
        <w:t>保密审查情况:</w:t>
      </w:r>
      <w:r>
        <w:rPr>
          <w:rFonts w:hint="eastAsia"/>
          <w:color w:val="000000"/>
          <w:spacing w:val="0"/>
          <w:w w:val="100"/>
          <w:position w:val="0"/>
          <w:sz w:val="30"/>
          <w:szCs w:val="30"/>
          <w:lang w:eastAsia="zh-CN"/>
        </w:rPr>
        <w:t>已审查</w:t>
      </w:r>
    </w:p>
    <w:p>
      <w:pPr>
        <w:pStyle w:val="14"/>
        <w:keepNext w:val="0"/>
        <w:keepLines w:val="0"/>
        <w:framePr w:w="4842" w:h="479" w:wrap="auto" w:vAnchor="margin" w:hAnchor="page" w:x="3808" w:y="10988"/>
        <w:widowControl w:val="0"/>
        <w:shd w:val="clear" w:color="auto" w:fill="auto"/>
        <w:bidi w:val="0"/>
        <w:spacing w:before="0" w:after="0" w:line="240" w:lineRule="auto"/>
        <w:ind w:left="0" w:right="0" w:firstLine="0"/>
        <w:jc w:val="left"/>
        <w:rPr>
          <w:rFonts w:hint="eastAsia" w:eastAsia="宋体"/>
          <w:sz w:val="30"/>
          <w:szCs w:val="30"/>
          <w:lang w:eastAsia="zh-CN"/>
        </w:rPr>
      </w:pPr>
      <w:r>
        <w:rPr>
          <w:color w:val="000000"/>
          <w:spacing w:val="0"/>
          <w:w w:val="100"/>
          <w:position w:val="0"/>
          <w:sz w:val="30"/>
          <w:szCs w:val="30"/>
        </w:rPr>
        <w:t>部门主要负责人审签情况:</w:t>
      </w:r>
      <w:r>
        <w:rPr>
          <w:rFonts w:hint="eastAsia"/>
          <w:color w:val="000000"/>
          <w:spacing w:val="0"/>
          <w:w w:val="100"/>
          <w:position w:val="0"/>
          <w:sz w:val="30"/>
          <w:szCs w:val="30"/>
          <w:lang w:eastAsia="zh-CN"/>
        </w:rPr>
        <w:t>已审签</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footnotePr>
            <w:numFmt w:val="decimal"/>
          </w:footnotePr>
          <w:pgSz w:w="11900" w:h="16840"/>
          <w:pgMar w:top="2358" w:right="3239" w:bottom="2358" w:left="1799" w:header="1930" w:footer="1930" w:gutter="0"/>
          <w:pgBorders>
            <w:top w:val="none" w:sz="0" w:space="0"/>
            <w:left w:val="none" w:sz="0" w:space="0"/>
            <w:bottom w:val="none" w:sz="0" w:space="0"/>
            <w:right w:val="none" w:sz="0" w:space="0"/>
          </w:pgBorders>
          <w:cols w:space="720" w:num="1"/>
          <w:rtlGutter w:val="0"/>
          <w:docGrid w:linePitch="360" w:charSpace="0"/>
        </w:sectPr>
      </w:pPr>
    </w:p>
    <w:p>
      <w:pPr>
        <w:pStyle w:val="14"/>
        <w:keepNext w:val="0"/>
        <w:keepLines w:val="0"/>
        <w:widowControl w:val="0"/>
        <w:shd w:val="clear" w:color="auto" w:fill="auto"/>
        <w:tabs>
          <w:tab w:val="left" w:pos="638"/>
        </w:tabs>
        <w:bidi w:val="0"/>
        <w:spacing w:before="0" w:after="0" w:line="619" w:lineRule="exact"/>
        <w:ind w:left="0" w:right="0" w:firstLine="0"/>
        <w:jc w:val="center"/>
        <w:rPr>
          <w:rFonts w:hint="eastAsia"/>
          <w:b w:val="0"/>
          <w:bCs w:val="0"/>
          <w:i w:val="0"/>
          <w:iCs w:val="0"/>
          <w:smallCaps w:val="0"/>
          <w:strike w:val="0"/>
          <w:color w:val="000000"/>
          <w:spacing w:val="0"/>
          <w:w w:val="100"/>
          <w:position w:val="0"/>
          <w:lang w:eastAsia="zh-CN"/>
        </w:rPr>
      </w:pPr>
      <w:r>
        <w:rPr>
          <w:rFonts w:hint="eastAsia"/>
          <w:b w:val="0"/>
          <w:bCs w:val="0"/>
          <w:i w:val="0"/>
          <w:iCs w:val="0"/>
          <w:smallCaps w:val="0"/>
          <w:strike w:val="0"/>
          <w:color w:val="000000"/>
          <w:spacing w:val="0"/>
          <w:w w:val="100"/>
          <w:position w:val="0"/>
          <w:lang w:eastAsia="zh-CN"/>
        </w:rPr>
        <w:t>目录</w:t>
      </w:r>
    </w:p>
    <w:p>
      <w:pPr>
        <w:pStyle w:val="14"/>
        <w:keepNext w:val="0"/>
        <w:keepLines w:val="0"/>
        <w:widowControl w:val="0"/>
        <w:shd w:val="clear" w:color="auto" w:fill="auto"/>
        <w:tabs>
          <w:tab w:val="left" w:pos="638"/>
        </w:tabs>
        <w:bidi w:val="0"/>
        <w:spacing w:before="0" w:after="0" w:line="619" w:lineRule="exact"/>
        <w:ind w:left="0" w:right="0" w:firstLine="0"/>
        <w:jc w:val="center"/>
        <w:rPr>
          <w:rFonts w:hint="eastAsia"/>
          <w:b w:val="0"/>
          <w:bCs w:val="0"/>
          <w:i w:val="0"/>
          <w:iCs w:val="0"/>
          <w:smallCaps w:val="0"/>
          <w:strike w:val="0"/>
          <w:color w:val="000000"/>
          <w:spacing w:val="0"/>
          <w:w w:val="100"/>
          <w:position w:val="0"/>
          <w:lang w:eastAsia="zh-CN"/>
        </w:rPr>
      </w:pPr>
    </w:p>
    <w:p>
      <w:pPr>
        <w:pStyle w:val="14"/>
        <w:keepNext w:val="0"/>
        <w:keepLines w:val="0"/>
        <w:widowControl w:val="0"/>
        <w:shd w:val="clear" w:color="auto" w:fill="auto"/>
        <w:tabs>
          <w:tab w:val="left" w:pos="638"/>
        </w:tabs>
        <w:bidi w:val="0"/>
        <w:spacing w:before="0" w:after="0" w:line="619" w:lineRule="exact"/>
        <w:ind w:left="0" w:right="0" w:firstLine="0"/>
        <w:jc w:val="center"/>
        <w:rPr>
          <w:rFonts w:hint="eastAsia"/>
          <w:b w:val="0"/>
          <w:bCs w:val="0"/>
          <w:i w:val="0"/>
          <w:iCs w:val="0"/>
          <w:smallCaps w:val="0"/>
          <w:strike w:val="0"/>
          <w:color w:val="000000"/>
          <w:spacing w:val="0"/>
          <w:w w:val="100"/>
          <w:position w:val="0"/>
          <w:lang w:eastAsia="zh-CN"/>
        </w:rPr>
      </w:pPr>
    </w:p>
    <w:p>
      <w:pPr>
        <w:pStyle w:val="14"/>
        <w:keepNext w:val="0"/>
        <w:keepLines w:val="0"/>
        <w:widowControl w:val="0"/>
        <w:shd w:val="clear" w:color="auto" w:fill="auto"/>
        <w:tabs>
          <w:tab w:val="left" w:pos="638"/>
        </w:tabs>
        <w:bidi w:val="0"/>
        <w:spacing w:before="0" w:after="0" w:line="619" w:lineRule="exact"/>
        <w:ind w:left="0" w:right="0" w:firstLine="0"/>
        <w:jc w:val="left"/>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rPr>
        <w:t>第一部分部</w:t>
      </w:r>
      <w:r>
        <w:rPr>
          <w:b w:val="0"/>
          <w:bCs w:val="0"/>
          <w:i w:val="0"/>
          <w:iCs w:val="0"/>
          <w:smallCaps w:val="0"/>
          <w:strike w:val="0"/>
          <w:color w:val="000000"/>
          <w:spacing w:val="0"/>
          <w:w w:val="100"/>
          <w:position w:val="0"/>
          <w:sz w:val="30"/>
          <w:szCs w:val="30"/>
        </w:rPr>
        <w:t>门概况</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0" w:name="bookmark25"/>
      <w:r>
        <w:rPr>
          <w:color w:val="000000"/>
          <w:spacing w:val="0"/>
          <w:w w:val="100"/>
          <w:position w:val="0"/>
        </w:rPr>
        <w:t>一</w:t>
      </w:r>
      <w:bookmarkEnd w:id="0"/>
      <w:r>
        <w:rPr>
          <w:color w:val="000000"/>
          <w:spacing w:val="0"/>
          <w:w w:val="100"/>
          <w:position w:val="0"/>
        </w:rPr>
        <w:t>、</w:t>
      </w:r>
      <w:r>
        <w:rPr>
          <w:color w:val="000000"/>
          <w:spacing w:val="0"/>
          <w:w w:val="100"/>
          <w:position w:val="0"/>
        </w:rPr>
        <w:tab/>
      </w:r>
      <w:r>
        <w:rPr>
          <w:color w:val="000000"/>
          <w:spacing w:val="0"/>
          <w:w w:val="100"/>
          <w:position w:val="0"/>
        </w:rPr>
        <w:t>部门主要职责及内设机构</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1" w:name="bookmark26"/>
      <w:r>
        <w:rPr>
          <w:color w:val="000000"/>
          <w:spacing w:val="0"/>
          <w:w w:val="100"/>
          <w:position w:val="0"/>
        </w:rPr>
        <w:t>二</w:t>
      </w:r>
      <w:bookmarkEnd w:id="1"/>
      <w:r>
        <w:rPr>
          <w:color w:val="000000"/>
          <w:spacing w:val="0"/>
          <w:w w:val="100"/>
          <w:position w:val="0"/>
        </w:rPr>
        <w:t>、</w:t>
      </w:r>
      <w:r>
        <w:rPr>
          <w:color w:val="000000"/>
          <w:spacing w:val="0"/>
          <w:w w:val="100"/>
          <w:position w:val="0"/>
        </w:rPr>
        <w:tab/>
      </w:r>
      <w:r>
        <w:rPr>
          <w:color w:val="000000"/>
          <w:spacing w:val="0"/>
          <w:w w:val="100"/>
          <w:position w:val="0"/>
        </w:rPr>
        <w:t>部门决算单位构成</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2" w:name="bookmark27"/>
      <w:r>
        <w:rPr>
          <w:color w:val="000000"/>
          <w:spacing w:val="0"/>
          <w:w w:val="100"/>
          <w:position w:val="0"/>
        </w:rPr>
        <w:t>三</w:t>
      </w:r>
      <w:bookmarkEnd w:id="2"/>
      <w:r>
        <w:rPr>
          <w:color w:val="000000"/>
          <w:spacing w:val="0"/>
          <w:w w:val="100"/>
          <w:position w:val="0"/>
        </w:rPr>
        <w:t>、</w:t>
      </w:r>
      <w:r>
        <w:rPr>
          <w:color w:val="000000"/>
          <w:spacing w:val="0"/>
          <w:w w:val="100"/>
          <w:position w:val="0"/>
        </w:rPr>
        <w:tab/>
      </w:r>
      <w:r>
        <w:rPr>
          <w:color w:val="000000"/>
          <w:spacing w:val="0"/>
          <w:w w:val="100"/>
          <w:position w:val="0"/>
        </w:rPr>
        <w:t>部门人员情况</w:t>
      </w:r>
    </w:p>
    <w:p>
      <w:pPr>
        <w:pStyle w:val="14"/>
        <w:keepNext w:val="0"/>
        <w:keepLines w:val="0"/>
        <w:widowControl w:val="0"/>
        <w:shd w:val="clear" w:color="auto" w:fill="auto"/>
        <w:bidi w:val="0"/>
        <w:spacing w:before="0" w:after="0" w:line="619" w:lineRule="exact"/>
        <w:ind w:left="0" w:right="0" w:firstLine="0"/>
        <w:jc w:val="center"/>
        <w:rPr>
          <w:sz w:val="30"/>
          <w:szCs w:val="30"/>
        </w:rPr>
      </w:pPr>
      <w:r>
        <w:rPr>
          <w:color w:val="000000"/>
          <w:spacing w:val="0"/>
          <w:w w:val="100"/>
          <w:position w:val="0"/>
          <w:sz w:val="30"/>
          <w:szCs w:val="30"/>
        </w:rPr>
        <w:t>第二部分</w:t>
      </w:r>
      <w:r>
        <w:rPr>
          <w:rFonts w:ascii="Times New Roman" w:hAnsi="Times New Roman" w:eastAsia="Times New Roman" w:cs="Times New Roman"/>
          <w:color w:val="000000"/>
          <w:spacing w:val="0"/>
          <w:w w:val="100"/>
          <w:position w:val="0"/>
          <w:sz w:val="30"/>
          <w:szCs w:val="30"/>
        </w:rPr>
        <w:t>2019</w:t>
      </w:r>
      <w:r>
        <w:rPr>
          <w:color w:val="000000"/>
          <w:spacing w:val="0"/>
          <w:w w:val="100"/>
          <w:position w:val="0"/>
          <w:sz w:val="30"/>
          <w:szCs w:val="30"/>
        </w:rPr>
        <w:t>年度部门决算表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3" w:name="bookmark28"/>
      <w:r>
        <w:rPr>
          <w:color w:val="000000"/>
          <w:spacing w:val="0"/>
          <w:w w:val="100"/>
          <w:position w:val="0"/>
        </w:rPr>
        <w:t>一</w:t>
      </w:r>
      <w:bookmarkEnd w:id="3"/>
      <w:r>
        <w:rPr>
          <w:color w:val="000000"/>
          <w:spacing w:val="0"/>
          <w:w w:val="100"/>
          <w:position w:val="0"/>
        </w:rPr>
        <w:t>、</w:t>
      </w:r>
      <w:r>
        <w:rPr>
          <w:color w:val="000000"/>
          <w:spacing w:val="0"/>
          <w:w w:val="100"/>
          <w:position w:val="0"/>
        </w:rPr>
        <w:tab/>
      </w:r>
      <w:r>
        <w:rPr>
          <w:color w:val="000000"/>
          <w:spacing w:val="0"/>
          <w:w w:val="100"/>
          <w:position w:val="0"/>
        </w:rPr>
        <w:t>收入支出决算总表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4" w:name="bookmark29"/>
      <w:r>
        <w:rPr>
          <w:color w:val="000000"/>
          <w:spacing w:val="0"/>
          <w:w w:val="100"/>
          <w:position w:val="0"/>
        </w:rPr>
        <w:t>二</w:t>
      </w:r>
      <w:bookmarkEnd w:id="4"/>
      <w:r>
        <w:rPr>
          <w:color w:val="000000"/>
          <w:spacing w:val="0"/>
          <w:w w:val="100"/>
          <w:position w:val="0"/>
        </w:rPr>
        <w:t>、</w:t>
      </w:r>
      <w:r>
        <w:rPr>
          <w:color w:val="000000"/>
          <w:spacing w:val="0"/>
          <w:w w:val="100"/>
          <w:position w:val="0"/>
        </w:rPr>
        <w:tab/>
      </w:r>
      <w:r>
        <w:rPr>
          <w:color w:val="000000"/>
          <w:spacing w:val="0"/>
          <w:w w:val="100"/>
          <w:position w:val="0"/>
        </w:rPr>
        <w:t>收入决算总表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5" w:name="bookmark30"/>
      <w:r>
        <w:rPr>
          <w:color w:val="000000"/>
          <w:spacing w:val="0"/>
          <w:w w:val="100"/>
          <w:position w:val="0"/>
        </w:rPr>
        <w:t>三</w:t>
      </w:r>
      <w:bookmarkEnd w:id="5"/>
      <w:r>
        <w:rPr>
          <w:color w:val="000000"/>
          <w:spacing w:val="0"/>
          <w:w w:val="100"/>
          <w:position w:val="0"/>
        </w:rPr>
        <w:t>、</w:t>
      </w:r>
      <w:r>
        <w:rPr>
          <w:color w:val="000000"/>
          <w:spacing w:val="0"/>
          <w:w w:val="100"/>
          <w:position w:val="0"/>
        </w:rPr>
        <w:tab/>
      </w:r>
      <w:r>
        <w:rPr>
          <w:color w:val="000000"/>
          <w:spacing w:val="0"/>
          <w:w w:val="100"/>
          <w:position w:val="0"/>
        </w:rPr>
        <w:t>支出决算总表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6" w:name="bookmark31"/>
      <w:r>
        <w:rPr>
          <w:color w:val="000000"/>
          <w:spacing w:val="0"/>
          <w:w w:val="100"/>
          <w:position w:val="0"/>
        </w:rPr>
        <w:t>四</w:t>
      </w:r>
      <w:bookmarkEnd w:id="6"/>
      <w:r>
        <w:rPr>
          <w:color w:val="000000"/>
          <w:spacing w:val="0"/>
          <w:w w:val="100"/>
          <w:position w:val="0"/>
        </w:rPr>
        <w:t>、</w:t>
      </w:r>
      <w:r>
        <w:rPr>
          <w:color w:val="000000"/>
          <w:spacing w:val="0"/>
          <w:w w:val="100"/>
          <w:position w:val="0"/>
        </w:rPr>
        <w:tab/>
      </w:r>
      <w:r>
        <w:rPr>
          <w:color w:val="000000"/>
          <w:spacing w:val="0"/>
          <w:w w:val="100"/>
          <w:position w:val="0"/>
        </w:rPr>
        <w:t>财政拨款收入支出决算总表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7" w:name="bookmark32"/>
      <w:r>
        <w:rPr>
          <w:color w:val="000000"/>
          <w:spacing w:val="0"/>
          <w:w w:val="100"/>
          <w:position w:val="0"/>
        </w:rPr>
        <w:t>五</w:t>
      </w:r>
      <w:bookmarkEnd w:id="7"/>
      <w:r>
        <w:rPr>
          <w:color w:val="000000"/>
          <w:spacing w:val="0"/>
          <w:w w:val="100"/>
          <w:position w:val="0"/>
        </w:rPr>
        <w:t>、</w:t>
      </w:r>
      <w:r>
        <w:rPr>
          <w:color w:val="000000"/>
          <w:spacing w:val="0"/>
          <w:w w:val="100"/>
          <w:position w:val="0"/>
        </w:rPr>
        <w:tab/>
      </w:r>
      <w:r>
        <w:rPr>
          <w:color w:val="000000"/>
          <w:spacing w:val="0"/>
          <w:w w:val="100"/>
          <w:position w:val="0"/>
        </w:rPr>
        <w:t>一般公共预算财政拨款支出决算表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8" w:name="bookmark33"/>
      <w:r>
        <w:rPr>
          <w:color w:val="000000"/>
          <w:spacing w:val="0"/>
          <w:w w:val="100"/>
          <w:position w:val="0"/>
        </w:rPr>
        <w:t>六</w:t>
      </w:r>
      <w:bookmarkEnd w:id="8"/>
      <w:r>
        <w:rPr>
          <w:color w:val="000000"/>
          <w:spacing w:val="0"/>
          <w:w w:val="100"/>
          <w:position w:val="0"/>
        </w:rPr>
        <w:t>、</w:t>
      </w:r>
      <w:r>
        <w:rPr>
          <w:color w:val="000000"/>
          <w:spacing w:val="0"/>
          <w:w w:val="100"/>
          <w:position w:val="0"/>
        </w:rPr>
        <w:tab/>
      </w:r>
      <w:r>
        <w:rPr>
          <w:color w:val="000000"/>
          <w:spacing w:val="0"/>
          <w:w w:val="100"/>
          <w:position w:val="0"/>
        </w:rPr>
        <w:t>一般公共预算财政拨款基本支出决算表</w:t>
      </w:r>
    </w:p>
    <w:p>
      <w:pPr>
        <w:pStyle w:val="14"/>
        <w:keepNext w:val="0"/>
        <w:keepLines w:val="0"/>
        <w:widowControl w:val="0"/>
        <w:shd w:val="clear" w:color="auto" w:fill="auto"/>
        <w:tabs>
          <w:tab w:val="left" w:pos="638"/>
        </w:tabs>
        <w:bidi w:val="0"/>
        <w:spacing w:before="0" w:after="0" w:line="619" w:lineRule="exact"/>
        <w:ind w:left="660" w:right="0" w:hanging="660"/>
        <w:jc w:val="left"/>
      </w:pPr>
      <w:bookmarkStart w:id="9" w:name="bookmark34"/>
      <w:r>
        <w:rPr>
          <w:color w:val="000000"/>
          <w:spacing w:val="0"/>
          <w:w w:val="100"/>
          <w:position w:val="0"/>
        </w:rPr>
        <w:t>七</w:t>
      </w:r>
      <w:bookmarkEnd w:id="9"/>
      <w:r>
        <w:rPr>
          <w:color w:val="000000"/>
          <w:spacing w:val="0"/>
          <w:w w:val="100"/>
          <w:position w:val="0"/>
        </w:rPr>
        <w:t>、</w:t>
      </w:r>
      <w:r>
        <w:rPr>
          <w:color w:val="000000"/>
          <w:spacing w:val="0"/>
          <w:w w:val="100"/>
          <w:position w:val="0"/>
        </w:rPr>
        <w:tab/>
      </w:r>
      <w:r>
        <w:rPr>
          <w:color w:val="000000"/>
          <w:spacing w:val="0"/>
          <w:w w:val="100"/>
          <w:position w:val="0"/>
        </w:rPr>
        <w:t>一般公共预算财政拨款</w:t>
      </w:r>
      <w:r>
        <w:rPr>
          <w:color w:val="000000"/>
          <w:spacing w:val="0"/>
          <w:w w:val="100"/>
          <w:position w:val="0"/>
          <w:lang w:val="zh-CN" w:eastAsia="zh-CN" w:bidi="zh-CN"/>
        </w:rPr>
        <w:t>“三公</w:t>
      </w:r>
      <w:r>
        <w:rPr>
          <w:color w:val="000000"/>
          <w:spacing w:val="0"/>
          <w:w w:val="100"/>
          <w:position w:val="0"/>
          <w:lang w:val="en-US" w:eastAsia="en-US" w:bidi="en-US"/>
        </w:rPr>
        <w:t>"</w:t>
      </w:r>
      <w:r>
        <w:rPr>
          <w:color w:val="000000"/>
          <w:spacing w:val="0"/>
          <w:w w:val="100"/>
          <w:position w:val="0"/>
        </w:rPr>
        <w:t>经费及会议费、培训费 支出决算表</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10" w:name="bookmark35"/>
      <w:r>
        <w:rPr>
          <w:color w:val="000000"/>
          <w:spacing w:val="0"/>
          <w:w w:val="100"/>
          <w:position w:val="0"/>
        </w:rPr>
        <w:t>八</w:t>
      </w:r>
      <w:bookmarkEnd w:id="10"/>
      <w:r>
        <w:rPr>
          <w:color w:val="000000"/>
          <w:spacing w:val="0"/>
          <w:w w:val="100"/>
          <w:position w:val="0"/>
        </w:rPr>
        <w:t>、</w:t>
      </w:r>
      <w:r>
        <w:rPr>
          <w:color w:val="000000"/>
          <w:spacing w:val="0"/>
          <w:w w:val="100"/>
          <w:position w:val="0"/>
        </w:rPr>
        <w:tab/>
      </w:r>
      <w:r>
        <w:rPr>
          <w:color w:val="000000"/>
          <w:spacing w:val="0"/>
          <w:w w:val="100"/>
          <w:position w:val="0"/>
        </w:rPr>
        <w:t>政府性基金预算财政拨款收入支出决算表</w:t>
      </w:r>
    </w:p>
    <w:p>
      <w:pPr>
        <w:pStyle w:val="14"/>
        <w:keepNext w:val="0"/>
        <w:keepLines w:val="0"/>
        <w:widowControl w:val="0"/>
        <w:shd w:val="clear" w:color="auto" w:fill="auto"/>
        <w:bidi w:val="0"/>
        <w:spacing w:before="0" w:after="0" w:line="619" w:lineRule="exact"/>
        <w:ind w:left="0" w:right="0" w:firstLine="0"/>
        <w:jc w:val="center"/>
        <w:rPr>
          <w:sz w:val="30"/>
          <w:szCs w:val="30"/>
        </w:rPr>
      </w:pPr>
      <w:r>
        <w:rPr>
          <w:color w:val="000000"/>
          <w:spacing w:val="0"/>
          <w:w w:val="100"/>
          <w:position w:val="0"/>
          <w:sz w:val="30"/>
          <w:szCs w:val="30"/>
        </w:rPr>
        <w:t>第三部分</w:t>
      </w:r>
      <w:r>
        <w:rPr>
          <w:rFonts w:ascii="Times New Roman" w:hAnsi="Times New Roman" w:eastAsia="Times New Roman" w:cs="Times New Roman"/>
          <w:color w:val="000000"/>
          <w:spacing w:val="0"/>
          <w:w w:val="100"/>
          <w:position w:val="0"/>
          <w:sz w:val="30"/>
          <w:szCs w:val="30"/>
        </w:rPr>
        <w:t>2019</w:t>
      </w:r>
      <w:r>
        <w:rPr>
          <w:color w:val="000000"/>
          <w:spacing w:val="0"/>
          <w:w w:val="100"/>
          <w:position w:val="0"/>
          <w:sz w:val="30"/>
          <w:szCs w:val="30"/>
        </w:rPr>
        <w:t>年度部门决算情况说明</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11" w:name="bookmark36"/>
      <w:r>
        <w:rPr>
          <w:color w:val="000000"/>
          <w:spacing w:val="0"/>
          <w:w w:val="100"/>
          <w:position w:val="0"/>
        </w:rPr>
        <w:t>一</w:t>
      </w:r>
      <w:bookmarkEnd w:id="11"/>
      <w:r>
        <w:rPr>
          <w:color w:val="000000"/>
          <w:spacing w:val="0"/>
          <w:w w:val="100"/>
          <w:position w:val="0"/>
        </w:rPr>
        <w:t>、</w:t>
      </w:r>
      <w:r>
        <w:rPr>
          <w:color w:val="000000"/>
          <w:spacing w:val="0"/>
          <w:w w:val="100"/>
          <w:position w:val="0"/>
        </w:rPr>
        <w:tab/>
      </w:r>
      <w:r>
        <w:rPr>
          <w:color w:val="000000"/>
          <w:spacing w:val="0"/>
          <w:w w:val="100"/>
          <w:position w:val="0"/>
        </w:rPr>
        <w:t>收入支出决算总体情况说明</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12" w:name="bookmark37"/>
      <w:r>
        <w:rPr>
          <w:color w:val="000000"/>
          <w:spacing w:val="0"/>
          <w:w w:val="100"/>
          <w:position w:val="0"/>
        </w:rPr>
        <w:t>二</w:t>
      </w:r>
      <w:bookmarkEnd w:id="12"/>
      <w:r>
        <w:rPr>
          <w:color w:val="000000"/>
          <w:spacing w:val="0"/>
          <w:w w:val="100"/>
          <w:position w:val="0"/>
        </w:rPr>
        <w:t>、</w:t>
      </w:r>
      <w:r>
        <w:rPr>
          <w:color w:val="000000"/>
          <w:spacing w:val="0"/>
          <w:w w:val="100"/>
          <w:position w:val="0"/>
        </w:rPr>
        <w:tab/>
      </w:r>
      <w:r>
        <w:rPr>
          <w:color w:val="000000"/>
          <w:spacing w:val="0"/>
          <w:w w:val="100"/>
          <w:position w:val="0"/>
        </w:rPr>
        <w:t>收入决算情况说明</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13" w:name="bookmark38"/>
      <w:r>
        <w:rPr>
          <w:color w:val="000000"/>
          <w:spacing w:val="0"/>
          <w:w w:val="100"/>
          <w:position w:val="0"/>
        </w:rPr>
        <w:t>三</w:t>
      </w:r>
      <w:bookmarkEnd w:id="13"/>
      <w:r>
        <w:rPr>
          <w:color w:val="000000"/>
          <w:spacing w:val="0"/>
          <w:w w:val="100"/>
          <w:position w:val="0"/>
        </w:rPr>
        <w:t>、</w:t>
      </w:r>
      <w:r>
        <w:rPr>
          <w:color w:val="000000"/>
          <w:spacing w:val="0"/>
          <w:w w:val="100"/>
          <w:position w:val="0"/>
        </w:rPr>
        <w:tab/>
      </w:r>
      <w:r>
        <w:rPr>
          <w:color w:val="000000"/>
          <w:spacing w:val="0"/>
          <w:w w:val="100"/>
          <w:position w:val="0"/>
        </w:rPr>
        <w:t>支出决算情况说明</w:t>
      </w:r>
    </w:p>
    <w:p>
      <w:pPr>
        <w:pStyle w:val="14"/>
        <w:keepNext w:val="0"/>
        <w:keepLines w:val="0"/>
        <w:widowControl w:val="0"/>
        <w:shd w:val="clear" w:color="auto" w:fill="auto"/>
        <w:tabs>
          <w:tab w:val="left" w:pos="638"/>
        </w:tabs>
        <w:bidi w:val="0"/>
        <w:spacing w:before="0" w:after="0" w:line="619" w:lineRule="exact"/>
        <w:ind w:left="0" w:right="0" w:firstLine="0"/>
        <w:jc w:val="left"/>
      </w:pPr>
      <w:bookmarkStart w:id="14" w:name="bookmark39"/>
      <w:r>
        <w:rPr>
          <w:color w:val="000000"/>
          <w:spacing w:val="0"/>
          <w:w w:val="100"/>
          <w:position w:val="0"/>
        </w:rPr>
        <w:t>四</w:t>
      </w:r>
      <w:bookmarkEnd w:id="14"/>
      <w:r>
        <w:rPr>
          <w:color w:val="000000"/>
          <w:spacing w:val="0"/>
          <w:w w:val="100"/>
          <w:position w:val="0"/>
        </w:rPr>
        <w:t>、</w:t>
      </w:r>
      <w:r>
        <w:rPr>
          <w:color w:val="000000"/>
          <w:spacing w:val="0"/>
          <w:w w:val="100"/>
          <w:position w:val="0"/>
        </w:rPr>
        <w:tab/>
      </w:r>
      <w:r>
        <w:rPr>
          <w:color w:val="000000"/>
          <w:spacing w:val="0"/>
          <w:w w:val="100"/>
          <w:position w:val="0"/>
        </w:rPr>
        <w:t>财政拨款收入支出决算总体情况说明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15" w:name="bookmark40"/>
      <w:r>
        <w:rPr>
          <w:color w:val="000000"/>
          <w:spacing w:val="0"/>
          <w:w w:val="100"/>
          <w:position w:val="0"/>
        </w:rPr>
        <w:t>五</w:t>
      </w:r>
      <w:bookmarkEnd w:id="15"/>
      <w:r>
        <w:rPr>
          <w:color w:val="000000"/>
          <w:spacing w:val="0"/>
          <w:w w:val="100"/>
          <w:position w:val="0"/>
        </w:rPr>
        <w:t>、</w:t>
      </w:r>
      <w:r>
        <w:rPr>
          <w:color w:val="000000"/>
          <w:spacing w:val="0"/>
          <w:w w:val="100"/>
          <w:position w:val="0"/>
        </w:rPr>
        <w:tab/>
      </w:r>
      <w:r>
        <w:rPr>
          <w:color w:val="000000"/>
          <w:spacing w:val="0"/>
          <w:w w:val="100"/>
          <w:position w:val="0"/>
        </w:rPr>
        <w:t>一般公共预算财政拨款支出决算情况说明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16" w:name="bookmark41"/>
      <w:r>
        <w:rPr>
          <w:color w:val="000000"/>
          <w:spacing w:val="0"/>
          <w:w w:val="100"/>
          <w:position w:val="0"/>
        </w:rPr>
        <w:t>（</w:t>
      </w:r>
      <w:bookmarkEnd w:id="16"/>
      <w:r>
        <w:rPr>
          <w:color w:val="000000"/>
          <w:spacing w:val="0"/>
          <w:w w:val="100"/>
          <w:position w:val="0"/>
        </w:rPr>
        <w:t>一）</w:t>
      </w:r>
      <w:r>
        <w:rPr>
          <w:color w:val="000000"/>
          <w:spacing w:val="0"/>
          <w:w w:val="100"/>
          <w:position w:val="0"/>
        </w:rPr>
        <w:tab/>
      </w:r>
      <w:r>
        <w:rPr>
          <w:color w:val="000000"/>
          <w:spacing w:val="0"/>
          <w:w w:val="100"/>
          <w:position w:val="0"/>
        </w:rPr>
        <w:t>财政拨款支出决算总体情况说明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17" w:name="bookmark42"/>
      <w:r>
        <w:rPr>
          <w:color w:val="000000"/>
          <w:spacing w:val="0"/>
          <w:w w:val="100"/>
          <w:position w:val="0"/>
        </w:rPr>
        <w:t>（</w:t>
      </w:r>
      <w:bookmarkEnd w:id="17"/>
      <w:r>
        <w:rPr>
          <w:color w:val="000000"/>
          <w:spacing w:val="0"/>
          <w:w w:val="100"/>
          <w:position w:val="0"/>
        </w:rPr>
        <w:t>二）</w:t>
      </w:r>
      <w:r>
        <w:rPr>
          <w:color w:val="000000"/>
          <w:spacing w:val="0"/>
          <w:w w:val="100"/>
          <w:position w:val="0"/>
        </w:rPr>
        <w:tab/>
      </w:r>
      <w:r>
        <w:rPr>
          <w:color w:val="000000"/>
          <w:spacing w:val="0"/>
          <w:w w:val="100"/>
          <w:position w:val="0"/>
        </w:rPr>
        <w:t>财政拨款支出决算具体情况说明</w:t>
      </w:r>
    </w:p>
    <w:p>
      <w:pPr>
        <w:pStyle w:val="14"/>
        <w:keepNext w:val="0"/>
        <w:keepLines w:val="0"/>
        <w:widowControl w:val="0"/>
        <w:shd w:val="clear" w:color="auto" w:fill="auto"/>
        <w:tabs>
          <w:tab w:val="left" w:pos="643"/>
        </w:tabs>
        <w:bidi w:val="0"/>
        <w:spacing w:before="0" w:after="0" w:line="626" w:lineRule="exact"/>
        <w:ind w:left="0" w:right="0" w:firstLine="0"/>
        <w:jc w:val="left"/>
      </w:pPr>
      <w:bookmarkStart w:id="18" w:name="bookmark43"/>
      <w:r>
        <w:rPr>
          <w:color w:val="000000"/>
          <w:spacing w:val="0"/>
          <w:w w:val="100"/>
          <w:position w:val="0"/>
        </w:rPr>
        <w:t>六</w:t>
      </w:r>
      <w:bookmarkEnd w:id="18"/>
      <w:r>
        <w:rPr>
          <w:color w:val="000000"/>
          <w:spacing w:val="0"/>
          <w:w w:val="100"/>
          <w:position w:val="0"/>
        </w:rPr>
        <w:t>、</w:t>
      </w:r>
      <w:r>
        <w:rPr>
          <w:color w:val="000000"/>
          <w:spacing w:val="0"/>
          <w:w w:val="100"/>
          <w:position w:val="0"/>
        </w:rPr>
        <w:tab/>
      </w:r>
      <w:r>
        <w:rPr>
          <w:color w:val="000000"/>
          <w:spacing w:val="0"/>
          <w:w w:val="100"/>
          <w:position w:val="0"/>
        </w:rPr>
        <w:t>一般公共预算财政拨款基本支出决算情况说明</w:t>
      </w:r>
    </w:p>
    <w:p>
      <w:pPr>
        <w:pStyle w:val="14"/>
        <w:keepNext w:val="0"/>
        <w:keepLines w:val="0"/>
        <w:widowControl w:val="0"/>
        <w:shd w:val="clear" w:color="auto" w:fill="auto"/>
        <w:tabs>
          <w:tab w:val="left" w:pos="643"/>
        </w:tabs>
        <w:bidi w:val="0"/>
        <w:spacing w:before="0" w:after="0" w:line="626" w:lineRule="exact"/>
        <w:ind w:left="0" w:right="0" w:firstLine="160"/>
        <w:jc w:val="left"/>
      </w:pPr>
      <w:bookmarkStart w:id="19" w:name="bookmark44"/>
      <w:r>
        <w:rPr>
          <w:color w:val="000000"/>
          <w:spacing w:val="0"/>
          <w:w w:val="100"/>
          <w:position w:val="0"/>
        </w:rPr>
        <w:t>七</w:t>
      </w:r>
      <w:bookmarkEnd w:id="19"/>
      <w:r>
        <w:rPr>
          <w:color w:val="000000"/>
          <w:spacing w:val="0"/>
          <w:w w:val="100"/>
          <w:position w:val="0"/>
        </w:rPr>
        <w:t>、</w:t>
      </w:r>
      <w:r>
        <w:rPr>
          <w:color w:val="000000"/>
          <w:spacing w:val="0"/>
          <w:w w:val="100"/>
          <w:position w:val="0"/>
        </w:rPr>
        <w:tab/>
      </w:r>
      <w:r>
        <w:rPr>
          <w:color w:val="000000"/>
          <w:spacing w:val="0"/>
          <w:w w:val="100"/>
          <w:position w:val="0"/>
        </w:rPr>
        <w:t>一般公共预算财政拨款</w:t>
      </w:r>
      <w:r>
        <w:rPr>
          <w:color w:val="000000"/>
          <w:spacing w:val="0"/>
          <w:w w:val="100"/>
          <w:position w:val="0"/>
          <w:lang w:val="zh-CN" w:eastAsia="zh-CN" w:bidi="zh-CN"/>
        </w:rPr>
        <w:t>“三公</w:t>
      </w:r>
      <w:r>
        <w:rPr>
          <w:color w:val="000000"/>
          <w:spacing w:val="0"/>
          <w:w w:val="100"/>
          <w:position w:val="0"/>
          <w:lang w:val="en-US" w:eastAsia="en-US" w:bidi="en-US"/>
        </w:rPr>
        <w:t>"</w:t>
      </w:r>
      <w:r>
        <w:rPr>
          <w:color w:val="000000"/>
          <w:spacing w:val="0"/>
          <w:w w:val="100"/>
          <w:position w:val="0"/>
        </w:rPr>
        <w:t>经费及会议费、培训费 支出决算情况说明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0" w:name="bookmark45"/>
      <w:r>
        <w:rPr>
          <w:color w:val="000000"/>
          <w:spacing w:val="0"/>
          <w:w w:val="100"/>
          <w:position w:val="0"/>
        </w:rPr>
        <w:t>（</w:t>
      </w:r>
      <w:bookmarkEnd w:id="20"/>
      <w:r>
        <w:rPr>
          <w:color w:val="000000"/>
          <w:spacing w:val="0"/>
          <w:w w:val="100"/>
          <w:position w:val="0"/>
        </w:rPr>
        <w:t>一）</w:t>
      </w:r>
      <w:r>
        <w:rPr>
          <w:color w:val="000000"/>
          <w:spacing w:val="0"/>
          <w:w w:val="100"/>
          <w:position w:val="0"/>
        </w:rPr>
        <w:tab/>
      </w:r>
      <w:r>
        <w:rPr>
          <w:color w:val="000000"/>
          <w:spacing w:val="0"/>
          <w:w w:val="100"/>
          <w:position w:val="0"/>
          <w:lang w:val="zh-CN" w:eastAsia="zh-CN" w:bidi="zh-CN"/>
        </w:rPr>
        <w:t>“三</w:t>
      </w:r>
      <w:r>
        <w:rPr>
          <w:color w:val="000000"/>
          <w:spacing w:val="0"/>
          <w:w w:val="100"/>
          <w:position w:val="0"/>
        </w:rPr>
        <w:t>公”经费财政拨款支出决算总体情况说明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1" w:name="bookmark46"/>
      <w:r>
        <w:rPr>
          <w:color w:val="000000"/>
          <w:spacing w:val="0"/>
          <w:w w:val="100"/>
          <w:position w:val="0"/>
        </w:rPr>
        <w:t>（</w:t>
      </w:r>
      <w:bookmarkEnd w:id="21"/>
      <w:r>
        <w:rPr>
          <w:color w:val="000000"/>
          <w:spacing w:val="0"/>
          <w:w w:val="100"/>
          <w:position w:val="0"/>
        </w:rPr>
        <w:t>二）</w:t>
      </w:r>
      <w:r>
        <w:rPr>
          <w:color w:val="000000"/>
          <w:spacing w:val="0"/>
          <w:w w:val="100"/>
          <w:position w:val="0"/>
        </w:rPr>
        <w:tab/>
      </w:r>
      <w:r>
        <w:rPr>
          <w:color w:val="000000"/>
          <w:spacing w:val="0"/>
          <w:w w:val="100"/>
          <w:position w:val="0"/>
          <w:lang w:val="zh-CN" w:eastAsia="zh-CN" w:bidi="zh-CN"/>
        </w:rPr>
        <w:t>“三公</w:t>
      </w:r>
      <w:r>
        <w:rPr>
          <w:color w:val="000000"/>
          <w:spacing w:val="0"/>
          <w:w w:val="100"/>
          <w:position w:val="0"/>
          <w:lang w:val="en-US" w:eastAsia="en-US" w:bidi="en-US"/>
        </w:rPr>
        <w:t>"</w:t>
      </w:r>
      <w:r>
        <w:rPr>
          <w:color w:val="000000"/>
          <w:spacing w:val="0"/>
          <w:w w:val="100"/>
          <w:position w:val="0"/>
        </w:rPr>
        <w:t>经费财政拨款支出决算具体情况说明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2" w:name="bookmark47"/>
      <w:r>
        <w:rPr>
          <w:color w:val="000000"/>
          <w:spacing w:val="0"/>
          <w:w w:val="100"/>
          <w:position w:val="0"/>
        </w:rPr>
        <w:t>（</w:t>
      </w:r>
      <w:bookmarkEnd w:id="22"/>
      <w:r>
        <w:rPr>
          <w:color w:val="000000"/>
          <w:spacing w:val="0"/>
          <w:w w:val="100"/>
          <w:position w:val="0"/>
        </w:rPr>
        <w:t>三）</w:t>
      </w:r>
      <w:r>
        <w:rPr>
          <w:color w:val="000000"/>
          <w:spacing w:val="0"/>
          <w:w w:val="100"/>
          <w:position w:val="0"/>
        </w:rPr>
        <w:tab/>
      </w:r>
      <w:r>
        <w:rPr>
          <w:color w:val="000000"/>
          <w:spacing w:val="0"/>
          <w:w w:val="100"/>
          <w:position w:val="0"/>
        </w:rPr>
        <w:t>培训费支出情况说明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3" w:name="bookmark48"/>
      <w:r>
        <w:rPr>
          <w:color w:val="000000"/>
          <w:spacing w:val="0"/>
          <w:w w:val="100"/>
          <w:position w:val="0"/>
        </w:rPr>
        <w:t>（</w:t>
      </w:r>
      <w:bookmarkEnd w:id="23"/>
      <w:r>
        <w:rPr>
          <w:color w:val="000000"/>
          <w:spacing w:val="0"/>
          <w:w w:val="100"/>
          <w:position w:val="0"/>
        </w:rPr>
        <w:t>四）</w:t>
      </w:r>
      <w:r>
        <w:rPr>
          <w:color w:val="000000"/>
          <w:spacing w:val="0"/>
          <w:w w:val="100"/>
          <w:position w:val="0"/>
        </w:rPr>
        <w:tab/>
      </w:r>
      <w:r>
        <w:rPr>
          <w:color w:val="000000"/>
          <w:spacing w:val="0"/>
          <w:w w:val="100"/>
          <w:position w:val="0"/>
        </w:rPr>
        <w:t>会议费支出情况说明</w:t>
      </w:r>
    </w:p>
    <w:p>
      <w:pPr>
        <w:pStyle w:val="14"/>
        <w:keepNext w:val="0"/>
        <w:keepLines w:val="0"/>
        <w:widowControl w:val="0"/>
        <w:shd w:val="clear" w:color="auto" w:fill="auto"/>
        <w:tabs>
          <w:tab w:val="left" w:pos="643"/>
        </w:tabs>
        <w:bidi w:val="0"/>
        <w:spacing w:before="0" w:after="0" w:line="626" w:lineRule="exact"/>
        <w:ind w:left="0" w:right="0" w:firstLine="0"/>
        <w:jc w:val="left"/>
      </w:pPr>
      <w:bookmarkStart w:id="24" w:name="bookmark49"/>
      <w:r>
        <w:rPr>
          <w:color w:val="000000"/>
          <w:spacing w:val="0"/>
          <w:w w:val="100"/>
          <w:position w:val="0"/>
        </w:rPr>
        <w:t>八</w:t>
      </w:r>
      <w:bookmarkEnd w:id="24"/>
      <w:r>
        <w:rPr>
          <w:color w:val="000000"/>
          <w:spacing w:val="0"/>
          <w:w w:val="100"/>
          <w:position w:val="0"/>
        </w:rPr>
        <w:t>、</w:t>
      </w:r>
      <w:r>
        <w:rPr>
          <w:color w:val="000000"/>
          <w:spacing w:val="0"/>
          <w:w w:val="100"/>
          <w:position w:val="0"/>
        </w:rPr>
        <w:tab/>
      </w:r>
      <w:r>
        <w:rPr>
          <w:color w:val="000000"/>
          <w:spacing w:val="0"/>
          <w:w w:val="100"/>
          <w:position w:val="0"/>
        </w:rPr>
        <w:t>政府性基金预算财政拨款收入支出情况说明</w:t>
      </w:r>
    </w:p>
    <w:p>
      <w:pPr>
        <w:pStyle w:val="14"/>
        <w:keepNext w:val="0"/>
        <w:keepLines w:val="0"/>
        <w:widowControl w:val="0"/>
        <w:shd w:val="clear" w:color="auto" w:fill="auto"/>
        <w:tabs>
          <w:tab w:val="left" w:pos="643"/>
        </w:tabs>
        <w:bidi w:val="0"/>
        <w:spacing w:before="0" w:after="0" w:line="626" w:lineRule="exact"/>
        <w:ind w:left="0" w:right="0" w:firstLine="0"/>
        <w:jc w:val="left"/>
      </w:pPr>
      <w:bookmarkStart w:id="25" w:name="bookmark50"/>
      <w:r>
        <w:rPr>
          <w:color w:val="000000"/>
          <w:spacing w:val="0"/>
          <w:w w:val="100"/>
          <w:position w:val="0"/>
        </w:rPr>
        <w:t>九</w:t>
      </w:r>
      <w:bookmarkEnd w:id="25"/>
      <w:r>
        <w:rPr>
          <w:color w:val="000000"/>
          <w:spacing w:val="0"/>
          <w:w w:val="100"/>
          <w:position w:val="0"/>
        </w:rPr>
        <w:t>、</w:t>
      </w:r>
      <w:r>
        <w:rPr>
          <w:color w:val="000000"/>
          <w:spacing w:val="0"/>
          <w:w w:val="100"/>
          <w:position w:val="0"/>
        </w:rPr>
        <w:tab/>
      </w:r>
      <w:r>
        <w:rPr>
          <w:color w:val="000000"/>
          <w:spacing w:val="0"/>
          <w:w w:val="100"/>
          <w:position w:val="0"/>
        </w:rPr>
        <w:t>国有资本经营财政拨款收入支出情况说明</w:t>
      </w:r>
    </w:p>
    <w:p>
      <w:pPr>
        <w:pStyle w:val="14"/>
        <w:keepNext w:val="0"/>
        <w:keepLines w:val="0"/>
        <w:widowControl w:val="0"/>
        <w:shd w:val="clear" w:color="auto" w:fill="auto"/>
        <w:bidi w:val="0"/>
        <w:spacing w:before="0" w:after="0" w:line="626" w:lineRule="exact"/>
        <w:ind w:left="0" w:right="0" w:firstLine="0"/>
        <w:jc w:val="left"/>
      </w:pPr>
      <w:r>
        <w:rPr>
          <w:color w:val="000000"/>
          <w:spacing w:val="0"/>
          <w:w w:val="100"/>
          <w:position w:val="0"/>
        </w:rPr>
        <w:t>十、预算绩效情况说明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6" w:name="bookmark51"/>
      <w:r>
        <w:rPr>
          <w:color w:val="000000"/>
          <w:spacing w:val="0"/>
          <w:w w:val="100"/>
          <w:position w:val="0"/>
        </w:rPr>
        <w:t>（</w:t>
      </w:r>
      <w:bookmarkEnd w:id="26"/>
      <w:r>
        <w:rPr>
          <w:color w:val="000000"/>
          <w:spacing w:val="0"/>
          <w:w w:val="100"/>
          <w:position w:val="0"/>
        </w:rPr>
        <w:t>一）</w:t>
      </w:r>
      <w:r>
        <w:rPr>
          <w:color w:val="000000"/>
          <w:spacing w:val="0"/>
          <w:w w:val="100"/>
          <w:position w:val="0"/>
        </w:rPr>
        <w:tab/>
      </w:r>
      <w:r>
        <w:rPr>
          <w:color w:val="000000"/>
          <w:spacing w:val="0"/>
          <w:w w:val="100"/>
          <w:position w:val="0"/>
        </w:rPr>
        <w:t>预算绩效管理工作开展情况说明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7" w:name="bookmark52"/>
      <w:r>
        <w:rPr>
          <w:color w:val="000000"/>
          <w:spacing w:val="0"/>
          <w:w w:val="100"/>
          <w:position w:val="0"/>
        </w:rPr>
        <w:t>（</w:t>
      </w:r>
      <w:bookmarkEnd w:id="27"/>
      <w:r>
        <w:rPr>
          <w:color w:val="000000"/>
          <w:spacing w:val="0"/>
          <w:w w:val="100"/>
          <w:position w:val="0"/>
        </w:rPr>
        <w:t>二）</w:t>
      </w:r>
      <w:r>
        <w:rPr>
          <w:color w:val="000000"/>
          <w:spacing w:val="0"/>
          <w:w w:val="100"/>
          <w:position w:val="0"/>
        </w:rPr>
        <w:tab/>
      </w:r>
      <w:r>
        <w:rPr>
          <w:color w:val="000000"/>
          <w:spacing w:val="0"/>
          <w:w w:val="100"/>
          <w:position w:val="0"/>
        </w:rPr>
        <w:t>部门决算中项目绩效自评结果</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8" w:name="bookmark53"/>
      <w:r>
        <w:rPr>
          <w:color w:val="000000"/>
          <w:spacing w:val="0"/>
          <w:w w:val="100"/>
          <w:position w:val="0"/>
        </w:rPr>
        <w:t>（</w:t>
      </w:r>
      <w:bookmarkEnd w:id="28"/>
      <w:r>
        <w:rPr>
          <w:color w:val="000000"/>
          <w:spacing w:val="0"/>
          <w:w w:val="100"/>
          <w:position w:val="0"/>
        </w:rPr>
        <w:t>三）</w:t>
      </w:r>
      <w:r>
        <w:rPr>
          <w:color w:val="000000"/>
          <w:spacing w:val="0"/>
          <w:w w:val="100"/>
          <w:position w:val="0"/>
        </w:rPr>
        <w:tab/>
      </w:r>
      <w:r>
        <w:rPr>
          <w:color w:val="000000"/>
          <w:spacing w:val="0"/>
          <w:w w:val="100"/>
          <w:position w:val="0"/>
        </w:rPr>
        <w:t>部门决算中整体支出绩效自评结果</w:t>
      </w:r>
    </w:p>
    <w:p>
      <w:pPr>
        <w:pStyle w:val="14"/>
        <w:keepNext w:val="0"/>
        <w:keepLines w:val="0"/>
        <w:widowControl w:val="0"/>
        <w:shd w:val="clear" w:color="auto" w:fill="auto"/>
        <w:bidi w:val="0"/>
        <w:spacing w:before="0" w:after="0" w:line="626" w:lineRule="exact"/>
        <w:ind w:left="0" w:right="0" w:firstLine="240"/>
        <w:jc w:val="left"/>
      </w:pPr>
      <w:r>
        <w:rPr>
          <w:color w:val="000000"/>
          <w:spacing w:val="0"/>
          <w:w w:val="100"/>
          <w:position w:val="0"/>
        </w:rPr>
        <w:t>十一、其他重要事项说明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29" w:name="bookmark54"/>
      <w:r>
        <w:rPr>
          <w:color w:val="000000"/>
          <w:spacing w:val="0"/>
          <w:w w:val="100"/>
          <w:position w:val="0"/>
        </w:rPr>
        <w:t>（</w:t>
      </w:r>
      <w:bookmarkEnd w:id="29"/>
      <w:r>
        <w:rPr>
          <w:color w:val="000000"/>
          <w:spacing w:val="0"/>
          <w:w w:val="100"/>
          <w:position w:val="0"/>
        </w:rPr>
        <w:t>一）</w:t>
      </w:r>
      <w:r>
        <w:rPr>
          <w:color w:val="000000"/>
          <w:spacing w:val="0"/>
          <w:w w:val="100"/>
          <w:position w:val="0"/>
        </w:rPr>
        <w:tab/>
      </w:r>
      <w:r>
        <w:rPr>
          <w:color w:val="000000"/>
          <w:spacing w:val="0"/>
          <w:w w:val="100"/>
          <w:position w:val="0"/>
        </w:rPr>
        <w:t>机关运行经费支出情况说明</w:t>
      </w:r>
    </w:p>
    <w:p>
      <w:pPr>
        <w:pStyle w:val="14"/>
        <w:keepNext w:val="0"/>
        <w:keepLines w:val="0"/>
        <w:widowControl w:val="0"/>
        <w:shd w:val="clear" w:color="auto" w:fill="auto"/>
        <w:tabs>
          <w:tab w:val="left" w:pos="1041"/>
        </w:tabs>
        <w:bidi w:val="0"/>
        <w:spacing w:before="0" w:after="0" w:line="626" w:lineRule="exact"/>
        <w:ind w:left="0" w:right="0" w:firstLine="240"/>
        <w:jc w:val="left"/>
      </w:pPr>
      <w:bookmarkStart w:id="30" w:name="bookmark55"/>
      <w:r>
        <w:rPr>
          <w:color w:val="000000"/>
          <w:spacing w:val="0"/>
          <w:w w:val="100"/>
          <w:position w:val="0"/>
        </w:rPr>
        <w:t>（</w:t>
      </w:r>
      <w:bookmarkEnd w:id="30"/>
      <w:r>
        <w:rPr>
          <w:color w:val="000000"/>
          <w:spacing w:val="0"/>
          <w:w w:val="100"/>
          <w:position w:val="0"/>
        </w:rPr>
        <w:t>二）</w:t>
      </w:r>
      <w:r>
        <w:rPr>
          <w:color w:val="000000"/>
          <w:spacing w:val="0"/>
          <w:w w:val="100"/>
          <w:position w:val="0"/>
        </w:rPr>
        <w:tab/>
      </w:r>
      <w:r>
        <w:rPr>
          <w:color w:val="000000"/>
          <w:spacing w:val="0"/>
          <w:w w:val="100"/>
          <w:position w:val="0"/>
        </w:rPr>
        <w:t>政府釆购支出情况说明</w:t>
      </w:r>
    </w:p>
    <w:p>
      <w:pPr>
        <w:pStyle w:val="14"/>
        <w:keepNext w:val="0"/>
        <w:keepLines w:val="0"/>
        <w:widowControl w:val="0"/>
        <w:shd w:val="clear" w:color="auto" w:fill="auto"/>
        <w:tabs>
          <w:tab w:val="left" w:pos="1041"/>
        </w:tabs>
        <w:bidi w:val="0"/>
        <w:spacing w:before="0" w:after="300" w:line="626" w:lineRule="exact"/>
        <w:ind w:left="0" w:right="0" w:firstLine="240"/>
        <w:jc w:val="left"/>
      </w:pPr>
      <w:bookmarkStart w:id="31" w:name="bookmark56"/>
      <w:r>
        <w:rPr>
          <w:color w:val="000000"/>
          <w:spacing w:val="0"/>
          <w:w w:val="100"/>
          <w:position w:val="0"/>
        </w:rPr>
        <w:t>（</w:t>
      </w:r>
      <w:bookmarkEnd w:id="31"/>
      <w:r>
        <w:rPr>
          <w:color w:val="000000"/>
          <w:spacing w:val="0"/>
          <w:w w:val="100"/>
          <w:position w:val="0"/>
        </w:rPr>
        <w:t>三）</w:t>
      </w:r>
      <w:r>
        <w:rPr>
          <w:color w:val="000000"/>
          <w:spacing w:val="0"/>
          <w:w w:val="100"/>
          <w:position w:val="0"/>
        </w:rPr>
        <w:tab/>
      </w:r>
      <w:r>
        <w:rPr>
          <w:color w:val="000000"/>
          <w:spacing w:val="0"/>
          <w:w w:val="100"/>
          <w:position w:val="0"/>
        </w:rPr>
        <w:t>国有资产占用及购置情况说明</w:t>
      </w:r>
    </w:p>
    <w:p>
      <w:pPr>
        <w:pStyle w:val="14"/>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第四部分专业名词解释</w:t>
      </w:r>
    </w:p>
    <w:p>
      <w:pPr>
        <w:pStyle w:val="12"/>
        <w:keepNext/>
        <w:keepLines/>
        <w:widowControl w:val="0"/>
        <w:shd w:val="clear" w:color="auto" w:fill="auto"/>
        <w:bidi w:val="0"/>
        <w:spacing w:before="0" w:after="480" w:line="240" w:lineRule="auto"/>
        <w:ind w:left="0" w:right="0" w:firstLine="0"/>
        <w:jc w:val="center"/>
      </w:pPr>
      <w:bookmarkStart w:id="32" w:name="bookmark57"/>
      <w:bookmarkStart w:id="33" w:name="bookmark58"/>
      <w:bookmarkStart w:id="34" w:name="bookmark59"/>
      <w:r>
        <w:rPr>
          <w:color w:val="000000"/>
          <w:spacing w:val="0"/>
          <w:w w:val="100"/>
          <w:position w:val="0"/>
        </w:rPr>
        <w:t>第一部分部门概况</w:t>
      </w:r>
      <w:bookmarkEnd w:id="32"/>
      <w:bookmarkEnd w:id="33"/>
      <w:bookmarkEnd w:id="34"/>
    </w:p>
    <w:p>
      <w:pPr>
        <w:pStyle w:val="14"/>
        <w:keepNext w:val="0"/>
        <w:keepLines w:val="0"/>
        <w:widowControl w:val="0"/>
        <w:shd w:val="clear" w:color="auto" w:fill="auto"/>
        <w:tabs>
          <w:tab w:val="left" w:pos="1357"/>
        </w:tabs>
        <w:bidi w:val="0"/>
        <w:spacing w:before="0" w:after="0" w:line="655" w:lineRule="exact"/>
        <w:ind w:left="0" w:right="0" w:firstLine="720"/>
        <w:jc w:val="left"/>
        <w:rPr>
          <w:sz w:val="30"/>
          <w:szCs w:val="30"/>
        </w:rPr>
      </w:pPr>
      <w:bookmarkStart w:id="35" w:name="bookmark60"/>
      <w:r>
        <w:rPr>
          <w:color w:val="000000"/>
          <w:spacing w:val="0"/>
          <w:w w:val="100"/>
          <w:position w:val="0"/>
          <w:sz w:val="30"/>
          <w:szCs w:val="30"/>
        </w:rPr>
        <w:t>一</w:t>
      </w:r>
      <w:bookmarkEnd w:id="35"/>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部门主要职责及内设机构</w:t>
      </w:r>
    </w:p>
    <w:p>
      <w:pPr>
        <w:pStyle w:val="14"/>
        <w:keepNext w:val="0"/>
        <w:keepLines w:val="0"/>
        <w:widowControl w:val="0"/>
        <w:shd w:val="clear" w:color="auto" w:fill="auto"/>
        <w:tabs>
          <w:tab w:val="left" w:pos="1757"/>
        </w:tabs>
        <w:bidi w:val="0"/>
        <w:spacing w:before="0" w:after="0" w:line="655" w:lineRule="exact"/>
        <w:ind w:left="0" w:right="0" w:firstLine="940"/>
        <w:jc w:val="left"/>
        <w:rPr>
          <w:sz w:val="30"/>
          <w:szCs w:val="30"/>
        </w:rPr>
      </w:pPr>
      <w:bookmarkStart w:id="36" w:name="bookmark61"/>
      <w:r>
        <w:rPr>
          <w:color w:val="000000"/>
          <w:spacing w:val="0"/>
          <w:w w:val="100"/>
          <w:position w:val="0"/>
          <w:sz w:val="30"/>
          <w:szCs w:val="30"/>
        </w:rPr>
        <w:t>（</w:t>
      </w:r>
      <w:bookmarkEnd w:id="36"/>
      <w:r>
        <w:rPr>
          <w:color w:val="000000"/>
          <w:spacing w:val="0"/>
          <w:w w:val="100"/>
          <w:position w:val="0"/>
          <w:sz w:val="30"/>
          <w:szCs w:val="30"/>
        </w:rPr>
        <w:t>一）</w:t>
      </w:r>
      <w:r>
        <w:rPr>
          <w:color w:val="000000"/>
          <w:spacing w:val="0"/>
          <w:w w:val="100"/>
          <w:position w:val="0"/>
          <w:sz w:val="30"/>
          <w:szCs w:val="30"/>
        </w:rPr>
        <w:tab/>
      </w:r>
      <w:r>
        <w:rPr>
          <w:color w:val="000000"/>
          <w:spacing w:val="0"/>
          <w:w w:val="100"/>
          <w:position w:val="0"/>
          <w:sz w:val="30"/>
          <w:szCs w:val="30"/>
        </w:rPr>
        <w:t>主要职责</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bookmarkStart w:id="37" w:name="bookmark62"/>
      <w:r>
        <w:rPr>
          <w:rFonts w:hint="eastAsia" w:ascii="仿宋_GB2312" w:hAnsi="Times New Roman" w:eastAsia="仿宋_GB2312" w:cs="宋体"/>
          <w:bCs/>
          <w:color w:val="000000"/>
          <w:sz w:val="32"/>
          <w:szCs w:val="32"/>
          <w:lang w:val="en-US" w:eastAsia="zh-CN" w:bidi="ar-SA"/>
        </w:rPr>
        <w:t>1、负责全区党的纪律检查工作。贯彻落实中央和省委、市委、市纪委和区委关于纪律检查工作的决定，维护党的章程和其他党内法规，检查党的路线方针政策和决议的执行情况，协助区委推进全面从严治党、加强党风廉政建设和组织协调反腐败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2、依照党的章程和其他党内法规履行监督、执纪、问责职责。负责经常对党员进行遵守纪律的教育，作出关于维护党纪的决定；对区委工作部门、区委批准设立的党组（党委、党工委）、区纪委监委派驻（出）机构等党的组织和区委管理的党员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对监督中发现的突出问题，向有关党组织提出纪律检查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3、在区委领导下，配合区委巡察工作领导小组开展巡察工作。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4、负责全区监察工作。贯彻落实中央和省委、市委、市纪委监委和区委关于监察工作的决定，维护宪法法律，依法对区委管理的行使公权力的公职人员进行监察，调查职务违法和职务犯罪，开展廉政建设和反腐败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5、依照法律规定履行监督、调查、处置职责。推动开展廉政教育，对区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对监督中发现的突出问题，向有关单位提出监察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6、负责组织协调全区全面从严治党、党风廉政建设和反腐败宣传教育工作。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7、负责综合分析全区全面从严治党、党风廉政建设和反腐败工作情况，对纪检监察工作重要理论及实践问题进行调查研 究；参与起草制定全区纪检监察相关规范性文件。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8、根据市纪委监委统一部署和领导，配合做好反腐败国际交流、合作；加强对全区反腐败国际追逃追赃和防逃工作的组织协调，督促有关单位做好相关工作。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9、根据干部管理权限，负责全区纪检监察系统领导班子 建设、干部队伍建设和组织建设的综合规划、政策研究、制度建 设和业务指导，会同有关方面做好区纪委监委派驻（出）机构、区管企业纪检监察机构领导班子建设有关工作；组织和指导全区纪检监察系统干部教育培训工作等。</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Times New Roman" w:eastAsia="仿宋_GB2312" w:cs="宋体"/>
          <w:bCs/>
          <w:color w:val="000000"/>
          <w:sz w:val="32"/>
          <w:szCs w:val="32"/>
          <w:lang w:val="en-US" w:eastAsia="zh-CN" w:bidi="ar-SA"/>
        </w:rPr>
      </w:pPr>
      <w:r>
        <w:rPr>
          <w:rFonts w:hint="eastAsia" w:ascii="仿宋_GB2312" w:hAnsi="Times New Roman" w:eastAsia="仿宋_GB2312" w:cs="宋体"/>
          <w:bCs/>
          <w:color w:val="000000"/>
          <w:sz w:val="32"/>
          <w:szCs w:val="32"/>
          <w:lang w:val="en-US" w:eastAsia="zh-CN" w:bidi="ar-SA"/>
        </w:rPr>
        <w:t>10、完成市纪委监委、区委交办的其他任务。</w:t>
      </w:r>
    </w:p>
    <w:p>
      <w:pPr>
        <w:pStyle w:val="14"/>
        <w:keepNext w:val="0"/>
        <w:keepLines w:val="0"/>
        <w:widowControl w:val="0"/>
        <w:shd w:val="clear" w:color="auto" w:fill="auto"/>
        <w:tabs>
          <w:tab w:val="left" w:pos="1757"/>
        </w:tabs>
        <w:bidi w:val="0"/>
        <w:spacing w:before="0" w:after="0" w:line="240" w:lineRule="auto"/>
        <w:ind w:left="0" w:right="0" w:firstLine="940"/>
        <w:jc w:val="left"/>
        <w:rPr>
          <w:color w:val="000000"/>
          <w:spacing w:val="0"/>
          <w:w w:val="100"/>
          <w:position w:val="0"/>
          <w:sz w:val="30"/>
          <w:szCs w:val="30"/>
        </w:rPr>
      </w:pPr>
      <w:r>
        <w:rPr>
          <w:color w:val="000000"/>
          <w:spacing w:val="0"/>
          <w:w w:val="100"/>
          <w:position w:val="0"/>
          <w:sz w:val="30"/>
          <w:szCs w:val="30"/>
        </w:rPr>
        <w:t>（</w:t>
      </w:r>
      <w:bookmarkEnd w:id="37"/>
      <w:r>
        <w:rPr>
          <w:color w:val="000000"/>
          <w:spacing w:val="0"/>
          <w:w w:val="100"/>
          <w:position w:val="0"/>
          <w:sz w:val="30"/>
          <w:szCs w:val="30"/>
        </w:rPr>
        <w:t>二）</w:t>
      </w:r>
      <w:r>
        <w:rPr>
          <w:color w:val="000000"/>
          <w:spacing w:val="0"/>
          <w:w w:val="100"/>
          <w:position w:val="0"/>
          <w:sz w:val="30"/>
          <w:szCs w:val="30"/>
        </w:rPr>
        <w:tab/>
      </w:r>
      <w:r>
        <w:rPr>
          <w:color w:val="000000"/>
          <w:spacing w:val="0"/>
          <w:w w:val="100"/>
          <w:position w:val="0"/>
          <w:sz w:val="30"/>
          <w:szCs w:val="30"/>
        </w:rPr>
        <w:t>内设机构</w:t>
      </w:r>
    </w:p>
    <w:p>
      <w:pPr>
        <w:pStyle w:val="4"/>
        <w:spacing w:line="560" w:lineRule="exact"/>
        <w:ind w:firstLine="640" w:firstLineChars="200"/>
        <w:rPr>
          <w:color w:val="000000"/>
          <w:spacing w:val="0"/>
          <w:w w:val="100"/>
          <w:position w:val="0"/>
          <w:sz w:val="30"/>
          <w:szCs w:val="30"/>
        </w:rPr>
      </w:pPr>
      <w:r>
        <w:rPr>
          <w:rFonts w:hint="eastAsia" w:ascii="仿宋_GB2312" w:hAnsi="仿宋_GB2312" w:eastAsia="仿宋_GB2312" w:cs="仿宋_GB2312"/>
          <w:color w:val="auto"/>
          <w:sz w:val="32"/>
          <w:szCs w:val="32"/>
          <w:lang w:val="en-US" w:eastAsia="zh-CN"/>
        </w:rPr>
        <w:t>本单位机关设置科室13个，包括办公室、组织宣传部、党风室、信访室、案件监督管理室、案件审理室、第一纪检监察室、第二纪检监察室、第三纪检监察室、第四纪检监察室、第五纪检监察室、第六纪检监察室、第七纪检监察室；另包括综合派驻第一至第三纪检监察组和区委巡察办。</w:t>
      </w:r>
    </w:p>
    <w:p>
      <w:pPr>
        <w:pStyle w:val="14"/>
        <w:keepNext w:val="0"/>
        <w:keepLines w:val="0"/>
        <w:widowControl w:val="0"/>
        <w:shd w:val="clear" w:color="auto" w:fill="auto"/>
        <w:tabs>
          <w:tab w:val="left" w:pos="1357"/>
        </w:tabs>
        <w:bidi w:val="0"/>
        <w:spacing w:before="0" w:after="300" w:line="655" w:lineRule="exact"/>
        <w:ind w:left="0" w:right="0" w:firstLine="720"/>
        <w:jc w:val="left"/>
        <w:rPr>
          <w:sz w:val="30"/>
          <w:szCs w:val="30"/>
        </w:rPr>
      </w:pPr>
      <w:bookmarkStart w:id="38" w:name="bookmark63"/>
      <w:r>
        <w:rPr>
          <w:color w:val="000000"/>
          <w:spacing w:val="0"/>
          <w:w w:val="100"/>
          <w:position w:val="0"/>
          <w:sz w:val="30"/>
          <w:szCs w:val="30"/>
        </w:rPr>
        <w:t>二</w:t>
      </w:r>
      <w:bookmarkEnd w:id="38"/>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部门决算单位构成</w:t>
      </w:r>
    </w:p>
    <w:p>
      <w:pPr>
        <w:pStyle w:val="4"/>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纳入本部门2019年度部门决算编制范围的单位包括本级机关</w:t>
      </w:r>
      <w:r>
        <w:rPr>
          <w:rFonts w:hint="eastAsia" w:ascii="仿宋_GB2312" w:eastAsia="仿宋_GB2312"/>
          <w:color w:val="000000"/>
          <w:sz w:val="32"/>
          <w:szCs w:val="32"/>
          <w:lang w:eastAsia="zh-CN"/>
        </w:rPr>
        <w:t>，无下级单位。</w:t>
      </w:r>
    </w:p>
    <w:p>
      <w:pPr>
        <w:bidi w:val="0"/>
        <w:rPr>
          <w:rFonts w:hint="eastAsia"/>
          <w:lang w:eastAsia="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5"/>
        <w:gridCol w:w="6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5" w:type="dxa"/>
            <w:noWrap w:val="0"/>
            <w:vAlign w:val="top"/>
          </w:tcPr>
          <w:p>
            <w:pPr>
              <w:pStyle w:val="4"/>
              <w:spacing w:line="560" w:lineRule="exact"/>
              <w:jc w:val="center"/>
              <w:rPr>
                <w:rFonts w:hint="eastAsia" w:ascii="仿宋_GB2312" w:eastAsia="仿宋_GB2312"/>
                <w:color w:val="000000"/>
                <w:sz w:val="32"/>
                <w:szCs w:val="32"/>
              </w:rPr>
            </w:pPr>
            <w:r>
              <w:rPr>
                <w:rFonts w:hint="eastAsia" w:ascii="仿宋_GB2312" w:eastAsia="仿宋_GB2312"/>
                <w:color w:val="000000"/>
                <w:sz w:val="32"/>
                <w:szCs w:val="32"/>
              </w:rPr>
              <w:t>序号</w:t>
            </w:r>
          </w:p>
        </w:tc>
        <w:tc>
          <w:tcPr>
            <w:tcW w:w="6607" w:type="dxa"/>
            <w:noWrap w:val="0"/>
            <w:vAlign w:val="top"/>
          </w:tcPr>
          <w:p>
            <w:pPr>
              <w:pStyle w:val="4"/>
              <w:spacing w:line="560" w:lineRule="exact"/>
              <w:jc w:val="center"/>
              <w:rPr>
                <w:rFonts w:hint="eastAsia" w:ascii="仿宋_GB2312" w:eastAsia="仿宋_GB2312"/>
                <w:color w:val="000000"/>
                <w:sz w:val="32"/>
                <w:szCs w:val="32"/>
              </w:rPr>
            </w:pPr>
            <w:r>
              <w:rPr>
                <w:rFonts w:hint="eastAsia" w:ascii="仿宋_GB2312" w:eastAsia="仿宋_GB2312"/>
                <w:color w:val="000000"/>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5" w:type="dxa"/>
            <w:noWrap w:val="0"/>
            <w:vAlign w:val="top"/>
          </w:tcPr>
          <w:p>
            <w:pPr>
              <w:pStyle w:val="4"/>
              <w:spacing w:line="560" w:lineRule="exact"/>
              <w:jc w:val="center"/>
              <w:rPr>
                <w:rFonts w:hint="eastAsia" w:ascii="仿宋_GB2312" w:eastAsia="仿宋_GB2312"/>
                <w:color w:val="000000"/>
                <w:sz w:val="32"/>
                <w:szCs w:val="32"/>
              </w:rPr>
            </w:pPr>
            <w:r>
              <w:rPr>
                <w:rFonts w:hint="eastAsia" w:ascii="仿宋_GB2312" w:eastAsia="仿宋_GB2312"/>
                <w:color w:val="000000"/>
                <w:sz w:val="32"/>
                <w:szCs w:val="32"/>
              </w:rPr>
              <w:t>1</w:t>
            </w:r>
          </w:p>
        </w:tc>
        <w:tc>
          <w:tcPr>
            <w:tcW w:w="6607" w:type="dxa"/>
            <w:noWrap w:val="0"/>
            <w:vAlign w:val="top"/>
          </w:tcPr>
          <w:p>
            <w:pPr>
              <w:pStyle w:val="4"/>
              <w:spacing w:line="560" w:lineRule="exact"/>
              <w:jc w:val="center"/>
              <w:rPr>
                <w:rFonts w:hint="eastAsia" w:ascii="仿宋_GB2312" w:eastAsia="仿宋_GB2312"/>
                <w:color w:val="000000"/>
                <w:sz w:val="32"/>
                <w:szCs w:val="32"/>
              </w:rPr>
            </w:pPr>
            <w:r>
              <w:rPr>
                <w:rFonts w:hint="eastAsia" w:ascii="仿宋_GB2312" w:eastAsia="仿宋_GB2312"/>
                <w:color w:val="000000"/>
                <w:sz w:val="32"/>
                <w:szCs w:val="32"/>
                <w:lang w:eastAsia="zh-CN"/>
              </w:rPr>
              <w:t>中共西安市莲湖区纪律检查委员会</w:t>
            </w:r>
            <w:r>
              <w:rPr>
                <w:rFonts w:hint="eastAsia" w:ascii="仿宋_GB2312" w:eastAsia="仿宋_GB2312"/>
                <w:color w:val="000000"/>
                <w:sz w:val="32"/>
                <w:szCs w:val="32"/>
              </w:rPr>
              <w:t>（本级）</w:t>
            </w:r>
          </w:p>
        </w:tc>
      </w:tr>
    </w:tbl>
    <w:p>
      <w:pPr>
        <w:pStyle w:val="20"/>
        <w:keepNext w:val="0"/>
        <w:keepLines w:val="0"/>
        <w:widowControl w:val="0"/>
        <w:shd w:val="clear" w:color="auto" w:fill="auto"/>
        <w:bidi w:val="0"/>
        <w:spacing w:before="0" w:after="0" w:line="623" w:lineRule="exact"/>
        <w:ind w:left="72" w:right="0" w:firstLine="600" w:firstLineChars="200"/>
        <w:jc w:val="left"/>
        <w:rPr>
          <w:sz w:val="30"/>
          <w:szCs w:val="30"/>
        </w:rPr>
      </w:pPr>
      <w:r>
        <w:rPr>
          <w:color w:val="000000"/>
          <w:spacing w:val="0"/>
          <w:w w:val="100"/>
          <w:position w:val="0"/>
          <w:sz w:val="30"/>
          <w:szCs w:val="30"/>
        </w:rPr>
        <w:t>三、部门人员情况</w:t>
      </w:r>
    </w:p>
    <w:p>
      <w:pPr>
        <w:pStyle w:val="4"/>
        <w:spacing w:line="560" w:lineRule="exact"/>
        <w:ind w:firstLine="640" w:firstLineChars="200"/>
        <w:rPr>
          <w:rFonts w:hint="eastAsia" w:ascii="仿宋_GB2312" w:eastAsia="仿宋_GB2312"/>
          <w:color w:val="000000"/>
          <w:sz w:val="32"/>
          <w:szCs w:val="32"/>
        </w:rPr>
      </w:pPr>
      <w:bookmarkStart w:id="39" w:name="bookmark64"/>
      <w:bookmarkStart w:id="40" w:name="bookmark65"/>
      <w:bookmarkStart w:id="41" w:name="bookmark66"/>
      <w:r>
        <w:rPr>
          <w:rFonts w:hint="eastAsia" w:ascii="仿宋_GB2312" w:eastAsia="仿宋_GB2312"/>
          <w:color w:val="000000"/>
          <w:sz w:val="32"/>
          <w:szCs w:val="32"/>
          <w:lang w:eastAsia="zh-CN"/>
        </w:rPr>
        <w:pict>
          <v:shape id="_x0000_s1026" o:spid="_x0000_s1026" o:spt="75" type="#_x0000_t75" style="position:absolute;left:0pt;margin-left:87.15pt;margin-top:111.95pt;height:160.6pt;width:264.4pt;mso-wrap-distance-bottom:0pt;mso-wrap-distance-top:0pt;z-index:251659264;mso-width-relative:page;mso-height-relative:page;" o:ole="t" filled="f" o:preferrelative="t" stroked="f" coordsize="21600,21600">
            <v:path/>
            <v:fill on="f" focussize="0,0"/>
            <v:stroke on="f"/>
            <v:imagedata r:id="rId11" o:title=""/>
            <o:lock v:ext="edit" aspectratio="t"/>
            <w10:wrap type="topAndBottom"/>
          </v:shape>
          <o:OLEObject Type="Embed" ProgID="Excel.Chart.8" ShapeID="_x0000_s1026" DrawAspect="Content" ObjectID="_1468075725" r:id="rId10">
            <o:LockedField>false</o:LockedField>
          </o:OLEObject>
        </w:pict>
      </w:r>
      <w:r>
        <w:rPr>
          <w:rFonts w:hint="eastAsia" w:ascii="仿宋_GB2312" w:eastAsia="仿宋_GB2312"/>
          <w:color w:val="000000"/>
          <w:sz w:val="32"/>
          <w:szCs w:val="32"/>
        </w:rPr>
        <w:t>截至2019年底，本部门人员编制</w:t>
      </w:r>
      <w:r>
        <w:rPr>
          <w:rFonts w:hint="eastAsia" w:ascii="仿宋_GB2312" w:eastAsia="仿宋_GB2312"/>
          <w:color w:val="000000"/>
          <w:sz w:val="32"/>
          <w:szCs w:val="32"/>
          <w:lang w:val="en-US" w:eastAsia="zh-CN"/>
        </w:rPr>
        <w:t>79</w:t>
      </w:r>
      <w:r>
        <w:rPr>
          <w:rFonts w:hint="eastAsia" w:ascii="仿宋_GB2312" w:eastAsia="仿宋_GB2312"/>
          <w:color w:val="000000"/>
          <w:sz w:val="32"/>
          <w:szCs w:val="32"/>
        </w:rPr>
        <w:t>人，其中行政编制</w:t>
      </w:r>
      <w:r>
        <w:rPr>
          <w:rFonts w:hint="eastAsia" w:ascii="仿宋_GB2312" w:eastAsia="仿宋_GB2312"/>
          <w:color w:val="000000"/>
          <w:sz w:val="32"/>
          <w:szCs w:val="32"/>
          <w:lang w:val="en-US" w:eastAsia="zh-CN"/>
        </w:rPr>
        <w:t>79</w:t>
      </w:r>
      <w:r>
        <w:rPr>
          <w:rFonts w:hint="eastAsia" w:ascii="仿宋_GB2312" w:eastAsia="仿宋_GB2312"/>
          <w:color w:val="000000"/>
          <w:sz w:val="32"/>
          <w:szCs w:val="32"/>
        </w:rPr>
        <w:t>人、事业编制</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人；实有人员</w:t>
      </w:r>
      <w:r>
        <w:rPr>
          <w:rFonts w:hint="eastAsia" w:ascii="仿宋_GB2312" w:eastAsia="仿宋_GB2312"/>
          <w:color w:val="000000"/>
          <w:sz w:val="32"/>
          <w:szCs w:val="32"/>
          <w:lang w:val="en-US" w:eastAsia="zh-CN"/>
        </w:rPr>
        <w:t>63</w:t>
      </w:r>
      <w:r>
        <w:rPr>
          <w:rFonts w:hint="eastAsia" w:ascii="仿宋_GB2312" w:eastAsia="仿宋_GB2312"/>
          <w:color w:val="000000"/>
          <w:sz w:val="32"/>
          <w:szCs w:val="32"/>
        </w:rPr>
        <w:t>人，其中行政</w:t>
      </w:r>
      <w:r>
        <w:rPr>
          <w:rFonts w:hint="eastAsia" w:ascii="仿宋_GB2312" w:eastAsia="仿宋_GB2312"/>
          <w:color w:val="000000"/>
          <w:sz w:val="32"/>
          <w:szCs w:val="32"/>
          <w:lang w:val="en-US" w:eastAsia="zh-CN"/>
        </w:rPr>
        <w:t>63</w:t>
      </w:r>
      <w:r>
        <w:rPr>
          <w:rFonts w:hint="eastAsia" w:ascii="仿宋_GB2312" w:eastAsia="仿宋_GB2312"/>
          <w:color w:val="000000"/>
          <w:sz w:val="32"/>
          <w:szCs w:val="32"/>
        </w:rPr>
        <w:t>人、事业</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人。单位管理的离退休人员</w:t>
      </w:r>
      <w:r>
        <w:rPr>
          <w:rFonts w:hint="eastAsia" w:ascii="仿宋_GB2312" w:eastAsia="仿宋_GB2312"/>
          <w:color w:val="000000"/>
          <w:sz w:val="32"/>
          <w:szCs w:val="32"/>
          <w:lang w:val="en-US" w:eastAsia="zh-CN"/>
        </w:rPr>
        <w:t>13</w:t>
      </w:r>
      <w:r>
        <w:rPr>
          <w:rFonts w:hint="eastAsia" w:ascii="仿宋_GB2312" w:eastAsia="仿宋_GB2312"/>
          <w:color w:val="000000"/>
          <w:sz w:val="32"/>
          <w:szCs w:val="32"/>
        </w:rPr>
        <w:t>人。</w:t>
      </w:r>
    </w:p>
    <w:p>
      <w:pPr>
        <w:pStyle w:val="12"/>
        <w:keepNext/>
        <w:keepLines/>
        <w:widowControl w:val="0"/>
        <w:shd w:val="clear" w:color="auto" w:fill="auto"/>
        <w:bidi w:val="0"/>
        <w:spacing w:before="0" w:after="1160" w:line="240" w:lineRule="auto"/>
        <w:ind w:left="0" w:right="0" w:firstLine="0"/>
        <w:jc w:val="center"/>
      </w:pPr>
      <w:r>
        <w:rPr>
          <w:color w:val="000000"/>
          <w:spacing w:val="0"/>
          <w:w w:val="100"/>
          <w:position w:val="0"/>
        </w:rPr>
        <w:t>第二部分</w:t>
      </w:r>
      <w:r>
        <w:rPr>
          <w:rFonts w:ascii="Times New Roman" w:hAnsi="Times New Roman" w:eastAsia="Times New Roman" w:cs="Times New Roman"/>
          <w:color w:val="000000"/>
          <w:spacing w:val="0"/>
          <w:w w:val="100"/>
          <w:position w:val="0"/>
          <w:sz w:val="48"/>
          <w:szCs w:val="48"/>
        </w:rPr>
        <w:t>2019</w:t>
      </w:r>
      <w:r>
        <w:rPr>
          <w:color w:val="000000"/>
          <w:spacing w:val="0"/>
          <w:w w:val="100"/>
          <w:position w:val="0"/>
        </w:rPr>
        <w:t>年度部门决算表</w:t>
      </w:r>
      <w:bookmarkEnd w:id="39"/>
      <w:bookmarkEnd w:id="40"/>
      <w:bookmarkEnd w:id="41"/>
    </w:p>
    <w:tbl>
      <w:tblPr>
        <w:tblStyle w:val="5"/>
        <w:tblW w:w="0" w:type="auto"/>
        <w:jc w:val="center"/>
        <w:tblLayout w:type="fixed"/>
        <w:tblCellMar>
          <w:top w:w="0" w:type="dxa"/>
          <w:left w:w="10" w:type="dxa"/>
          <w:bottom w:w="0" w:type="dxa"/>
          <w:right w:w="10" w:type="dxa"/>
        </w:tblCellMar>
      </w:tblPr>
      <w:tblGrid>
        <w:gridCol w:w="612"/>
        <w:gridCol w:w="6214"/>
        <w:gridCol w:w="648"/>
        <w:gridCol w:w="1793"/>
      </w:tblGrid>
      <w:tr>
        <w:tblPrEx>
          <w:tblCellMar>
            <w:top w:w="0" w:type="dxa"/>
            <w:left w:w="10" w:type="dxa"/>
            <w:bottom w:w="0" w:type="dxa"/>
            <w:right w:w="10" w:type="dxa"/>
          </w:tblCellMar>
        </w:tblPrEx>
        <w:trPr>
          <w:trHeight w:val="706"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both"/>
              <w:rPr>
                <w:sz w:val="24"/>
                <w:szCs w:val="24"/>
              </w:rPr>
            </w:pPr>
            <w:r>
              <w:rPr>
                <w:color w:val="000000"/>
                <w:spacing w:val="0"/>
                <w:w w:val="100"/>
                <w:position w:val="0"/>
                <w:sz w:val="24"/>
                <w:szCs w:val="24"/>
              </w:rPr>
              <w:t>序号</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内容</w:t>
            </w:r>
          </w:p>
        </w:tc>
        <w:tc>
          <w:tcPr>
            <w:tcBorders>
              <w:top w:val="single" w:color="auto" w:sz="4" w:space="0"/>
              <w:left w:val="single" w:color="auto" w:sz="4" w:space="0"/>
            </w:tcBorders>
            <w:shd w:val="clear" w:color="auto" w:fill="FFFFFF"/>
            <w:vAlign w:val="bottom"/>
          </w:tcPr>
          <w:p>
            <w:pPr>
              <w:pStyle w:val="22"/>
              <w:keepNext w:val="0"/>
              <w:keepLines w:val="0"/>
              <w:widowControl w:val="0"/>
              <w:shd w:val="clear" w:color="auto" w:fill="auto"/>
              <w:bidi w:val="0"/>
              <w:spacing w:before="0" w:after="0" w:line="302" w:lineRule="exact"/>
              <w:ind w:left="0" w:right="0" w:firstLine="0"/>
              <w:jc w:val="center"/>
              <w:rPr>
                <w:sz w:val="24"/>
                <w:szCs w:val="24"/>
              </w:rPr>
            </w:pPr>
            <w:r>
              <w:rPr>
                <w:color w:val="000000"/>
                <w:spacing w:val="0"/>
                <w:w w:val="100"/>
                <w:position w:val="0"/>
                <w:sz w:val="24"/>
                <w:szCs w:val="24"/>
              </w:rPr>
              <w:t>是否 空表</w:t>
            </w:r>
          </w:p>
        </w:tc>
        <w:tc>
          <w:tcPr>
            <w:tcBorders>
              <w:top w:val="single" w:color="auto" w:sz="4" w:space="0"/>
              <w:left w:val="single" w:color="auto" w:sz="4" w:space="0"/>
              <w:righ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表格为空的理由</w:t>
            </w:r>
          </w:p>
        </w:tc>
      </w:tr>
      <w:tr>
        <w:tblPrEx>
          <w:tblCellMar>
            <w:top w:w="0" w:type="dxa"/>
            <w:left w:w="10" w:type="dxa"/>
            <w:bottom w:w="0" w:type="dxa"/>
            <w:right w:w="10" w:type="dxa"/>
          </w:tblCellMar>
        </w:tblPrEx>
        <w:trPr>
          <w:trHeight w:val="727"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表1</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收入支出决算总表</w:t>
            </w:r>
          </w:p>
        </w:tc>
        <w:tc>
          <w:tcPr>
            <w:tcBorders>
              <w:top w:val="single" w:color="auto" w:sz="4" w:space="0"/>
              <w:left w:val="single" w:color="auto" w:sz="4" w:space="0"/>
            </w:tcBorders>
            <w:shd w:val="clear" w:color="auto" w:fill="FFFFFF"/>
            <w:vAlign w:val="center"/>
          </w:tcPr>
          <w:p>
            <w:pPr>
              <w:widowControl w:val="0"/>
              <w:jc w:val="center"/>
              <w:rPr>
                <w:rFonts w:hint="eastAsia" w:eastAsia="宋体"/>
                <w:sz w:val="20"/>
                <w:szCs w:val="20"/>
                <w:lang w:eastAsia="zh-CN"/>
              </w:rPr>
            </w:pPr>
            <w:r>
              <w:rPr>
                <w:rFonts w:hint="eastAsia" w:eastAsia="宋体"/>
                <w:sz w:val="20"/>
                <w:szCs w:val="20"/>
                <w:lang w:eastAsia="zh-CN"/>
              </w:rPr>
              <w:t>否</w:t>
            </w:r>
          </w:p>
        </w:tc>
        <w:tc>
          <w:tcPr>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r>
        <w:tblPrEx>
          <w:tblCellMar>
            <w:top w:w="0" w:type="dxa"/>
            <w:left w:w="10" w:type="dxa"/>
            <w:bottom w:w="0" w:type="dxa"/>
            <w:right w:w="10" w:type="dxa"/>
          </w:tblCellMar>
        </w:tblPrEx>
        <w:trPr>
          <w:trHeight w:val="734"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表2</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收入决算表</w:t>
            </w:r>
          </w:p>
        </w:tc>
        <w:tc>
          <w:tcPr>
            <w:tcBorders>
              <w:top w:val="single" w:color="auto" w:sz="4" w:space="0"/>
              <w:left w:val="single" w:color="auto" w:sz="4" w:space="0"/>
            </w:tcBorders>
            <w:shd w:val="clear" w:color="auto" w:fill="FFFFFF"/>
            <w:vAlign w:val="center"/>
          </w:tcPr>
          <w:p>
            <w:pPr>
              <w:widowControl w:val="0"/>
              <w:jc w:val="center"/>
              <w:rPr>
                <w:sz w:val="20"/>
                <w:szCs w:val="20"/>
              </w:rPr>
            </w:pPr>
            <w:r>
              <w:rPr>
                <w:rFonts w:hint="eastAsia" w:eastAsia="宋体"/>
                <w:sz w:val="20"/>
                <w:szCs w:val="20"/>
                <w:lang w:eastAsia="zh-CN"/>
              </w:rPr>
              <w:t>否</w:t>
            </w:r>
          </w:p>
        </w:tc>
        <w:tc>
          <w:tcPr>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r>
        <w:tblPrEx>
          <w:tblCellMar>
            <w:top w:w="0" w:type="dxa"/>
            <w:left w:w="10" w:type="dxa"/>
            <w:bottom w:w="0" w:type="dxa"/>
            <w:right w:w="10" w:type="dxa"/>
          </w:tblCellMar>
        </w:tblPrEx>
        <w:trPr>
          <w:trHeight w:val="734"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表3</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支出决算表</w:t>
            </w:r>
          </w:p>
        </w:tc>
        <w:tc>
          <w:tcPr>
            <w:tcBorders>
              <w:top w:val="single" w:color="auto" w:sz="4" w:space="0"/>
              <w:left w:val="single" w:color="auto" w:sz="4" w:space="0"/>
            </w:tcBorders>
            <w:shd w:val="clear" w:color="auto" w:fill="FFFFFF"/>
            <w:vAlign w:val="center"/>
          </w:tcPr>
          <w:p>
            <w:pPr>
              <w:widowControl w:val="0"/>
              <w:jc w:val="center"/>
              <w:rPr>
                <w:sz w:val="20"/>
                <w:szCs w:val="20"/>
              </w:rPr>
            </w:pPr>
            <w:r>
              <w:rPr>
                <w:rFonts w:hint="eastAsia" w:eastAsia="宋体"/>
                <w:sz w:val="20"/>
                <w:szCs w:val="20"/>
                <w:lang w:eastAsia="zh-CN"/>
              </w:rPr>
              <w:t>否</w:t>
            </w:r>
          </w:p>
        </w:tc>
        <w:tc>
          <w:tcPr>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r>
        <w:tblPrEx>
          <w:tblCellMar>
            <w:top w:w="0" w:type="dxa"/>
            <w:left w:w="10" w:type="dxa"/>
            <w:bottom w:w="0" w:type="dxa"/>
            <w:right w:w="10" w:type="dxa"/>
          </w:tblCellMar>
        </w:tblPrEx>
        <w:trPr>
          <w:trHeight w:val="734"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表4</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财政拨款收入支出决算总表</w:t>
            </w:r>
          </w:p>
        </w:tc>
        <w:tc>
          <w:tcPr>
            <w:tcBorders>
              <w:top w:val="single" w:color="auto" w:sz="4" w:space="0"/>
              <w:left w:val="single" w:color="auto" w:sz="4" w:space="0"/>
            </w:tcBorders>
            <w:shd w:val="clear" w:color="auto" w:fill="FFFFFF"/>
            <w:vAlign w:val="center"/>
          </w:tcPr>
          <w:p>
            <w:pPr>
              <w:widowControl w:val="0"/>
              <w:jc w:val="center"/>
              <w:rPr>
                <w:sz w:val="20"/>
                <w:szCs w:val="20"/>
              </w:rPr>
            </w:pPr>
            <w:r>
              <w:rPr>
                <w:rFonts w:hint="eastAsia" w:eastAsia="宋体"/>
                <w:sz w:val="20"/>
                <w:szCs w:val="20"/>
                <w:lang w:eastAsia="zh-CN"/>
              </w:rPr>
              <w:t>否</w:t>
            </w:r>
          </w:p>
        </w:tc>
        <w:tc>
          <w:tcPr>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r>
        <w:tblPrEx>
          <w:tblCellMar>
            <w:top w:w="0" w:type="dxa"/>
            <w:left w:w="10" w:type="dxa"/>
            <w:bottom w:w="0" w:type="dxa"/>
            <w:right w:w="10" w:type="dxa"/>
          </w:tblCellMar>
        </w:tblPrEx>
        <w:trPr>
          <w:trHeight w:val="850"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表5</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一般公共预算财政拨款支出决算表（按功能分类科目）</w:t>
            </w:r>
          </w:p>
        </w:tc>
        <w:tc>
          <w:tcPr>
            <w:tcBorders>
              <w:top w:val="single" w:color="auto" w:sz="4" w:space="0"/>
              <w:left w:val="single" w:color="auto" w:sz="4" w:space="0"/>
            </w:tcBorders>
            <w:shd w:val="clear" w:color="auto" w:fill="FFFFFF"/>
            <w:vAlign w:val="center"/>
          </w:tcPr>
          <w:p>
            <w:pPr>
              <w:widowControl w:val="0"/>
              <w:jc w:val="center"/>
              <w:rPr>
                <w:sz w:val="20"/>
                <w:szCs w:val="20"/>
              </w:rPr>
            </w:pPr>
            <w:r>
              <w:rPr>
                <w:rFonts w:hint="eastAsia" w:eastAsia="宋体"/>
                <w:sz w:val="20"/>
                <w:szCs w:val="20"/>
                <w:lang w:eastAsia="zh-CN"/>
              </w:rPr>
              <w:t>否</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r>
        <w:tblPrEx>
          <w:tblCellMar>
            <w:top w:w="0" w:type="dxa"/>
            <w:left w:w="10" w:type="dxa"/>
            <w:bottom w:w="0" w:type="dxa"/>
            <w:right w:w="10" w:type="dxa"/>
          </w:tblCellMar>
        </w:tblPrEx>
        <w:trPr>
          <w:trHeight w:val="857"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表6</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一般公共预算财政拨款基本支出决算表（按经济分类科目）</w:t>
            </w:r>
          </w:p>
        </w:tc>
        <w:tc>
          <w:tcPr>
            <w:tcBorders>
              <w:top w:val="single" w:color="auto" w:sz="4" w:space="0"/>
              <w:left w:val="single" w:color="auto" w:sz="4" w:space="0"/>
            </w:tcBorders>
            <w:shd w:val="clear" w:color="auto" w:fill="FFFFFF"/>
            <w:vAlign w:val="center"/>
          </w:tcPr>
          <w:p>
            <w:pPr>
              <w:widowControl w:val="0"/>
              <w:jc w:val="center"/>
              <w:rPr>
                <w:sz w:val="20"/>
                <w:szCs w:val="20"/>
              </w:rPr>
            </w:pPr>
            <w:r>
              <w:rPr>
                <w:rFonts w:hint="eastAsia" w:eastAsia="宋体"/>
                <w:sz w:val="20"/>
                <w:szCs w:val="20"/>
                <w:lang w:eastAsia="zh-CN"/>
              </w:rPr>
              <w:t>否</w:t>
            </w:r>
          </w:p>
        </w:tc>
        <w:tc>
          <w:tcPr>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r>
        <w:tblPrEx>
          <w:tblCellMar>
            <w:top w:w="0" w:type="dxa"/>
            <w:left w:w="10" w:type="dxa"/>
            <w:bottom w:w="0" w:type="dxa"/>
            <w:right w:w="10" w:type="dxa"/>
          </w:tblCellMar>
        </w:tblPrEx>
        <w:trPr>
          <w:trHeight w:val="785"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表7</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一般公共预算财政拨款</w:t>
            </w:r>
            <w:r>
              <w:rPr>
                <w:rFonts w:ascii="Times New Roman" w:hAnsi="Times New Roman" w:eastAsia="Times New Roman" w:cs="Times New Roman"/>
                <w:color w:val="000000"/>
                <w:spacing w:val="0"/>
                <w:w w:val="100"/>
                <w:position w:val="0"/>
                <w:sz w:val="20"/>
                <w:szCs w:val="20"/>
                <w:lang w:val="zh-CN" w:eastAsia="zh-CN" w:bidi="zh-CN"/>
              </w:rPr>
              <w:t>“</w:t>
            </w:r>
            <w:r>
              <w:rPr>
                <w:color w:val="000000"/>
                <w:spacing w:val="0"/>
                <w:w w:val="100"/>
                <w:position w:val="0"/>
                <w:sz w:val="20"/>
                <w:szCs w:val="20"/>
                <w:lang w:val="zh-CN" w:eastAsia="zh-CN" w:bidi="zh-CN"/>
              </w:rPr>
              <w:t>三</w:t>
            </w:r>
            <w:r>
              <w:rPr>
                <w:color w:val="000000"/>
                <w:spacing w:val="0"/>
                <w:w w:val="100"/>
                <w:position w:val="0"/>
                <w:sz w:val="20"/>
                <w:szCs w:val="20"/>
              </w:rPr>
              <w:t>公</w:t>
            </w:r>
            <w:r>
              <w:rPr>
                <w:rFonts w:ascii="Times New Roman" w:hAnsi="Times New Roman" w:eastAsia="Times New Roman" w:cs="Times New Roman"/>
                <w:color w:val="000000"/>
                <w:spacing w:val="0"/>
                <w:w w:val="100"/>
                <w:position w:val="0"/>
                <w:sz w:val="20"/>
                <w:szCs w:val="20"/>
              </w:rPr>
              <w:t>”</w:t>
            </w:r>
            <w:r>
              <w:rPr>
                <w:color w:val="000000"/>
                <w:spacing w:val="0"/>
                <w:w w:val="100"/>
                <w:position w:val="0"/>
                <w:sz w:val="20"/>
                <w:szCs w:val="20"/>
              </w:rPr>
              <w:t>经费及会议费、培训费支出决算表</w:t>
            </w:r>
          </w:p>
        </w:tc>
        <w:tc>
          <w:tcPr>
            <w:tcBorders>
              <w:top w:val="single" w:color="auto" w:sz="4" w:space="0"/>
              <w:left w:val="single" w:color="auto" w:sz="4" w:space="0"/>
            </w:tcBorders>
            <w:shd w:val="clear" w:color="auto" w:fill="FFFFFF"/>
            <w:vAlign w:val="center"/>
          </w:tcPr>
          <w:p>
            <w:pPr>
              <w:widowControl w:val="0"/>
              <w:jc w:val="center"/>
              <w:rPr>
                <w:rFonts w:hint="eastAsia" w:eastAsia="宋体"/>
                <w:sz w:val="20"/>
                <w:szCs w:val="20"/>
                <w:lang w:eastAsia="zh-CN"/>
              </w:rPr>
            </w:pPr>
            <w:r>
              <w:rPr>
                <w:rFonts w:hint="eastAsia" w:eastAsia="宋体"/>
                <w:sz w:val="20"/>
                <w:szCs w:val="20"/>
                <w:lang w:eastAsia="zh-CN"/>
              </w:rPr>
              <w:t>是</w:t>
            </w:r>
          </w:p>
        </w:tc>
        <w:tc>
          <w:tcPr>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r>
              <w:rPr>
                <w:rFonts w:hint="eastAsia" w:eastAsia="宋体"/>
                <w:sz w:val="20"/>
                <w:szCs w:val="20"/>
                <w:lang w:eastAsia="zh-CN"/>
              </w:rPr>
              <w:t>本部门不涉及</w:t>
            </w:r>
          </w:p>
        </w:tc>
      </w:tr>
      <w:tr>
        <w:tblPrEx>
          <w:tblCellMar>
            <w:top w:w="0" w:type="dxa"/>
            <w:left w:w="10" w:type="dxa"/>
            <w:bottom w:w="0" w:type="dxa"/>
            <w:right w:w="10" w:type="dxa"/>
          </w:tblCellMar>
        </w:tblPrEx>
        <w:trPr>
          <w:trHeight w:val="770" w:hRule="exact"/>
          <w:jc w:val="center"/>
        </w:trPr>
        <w:tc>
          <w:tcPr>
            <w:tcBorders>
              <w:top w:val="single" w:color="auto" w:sz="4" w:space="0"/>
              <w:left w:val="single" w:color="auto" w:sz="4" w:space="0"/>
              <w:bottom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表8</w:t>
            </w:r>
          </w:p>
        </w:tc>
        <w:tc>
          <w:tcPr>
            <w:tcBorders>
              <w:top w:val="single" w:color="auto" w:sz="4" w:space="0"/>
              <w:left w:val="single" w:color="auto" w:sz="4" w:space="0"/>
              <w:bottom w:val="single" w:color="auto" w:sz="4" w:space="0"/>
            </w:tcBorders>
            <w:shd w:val="clear" w:color="auto" w:fill="FFFFFF"/>
            <w:vAlign w:val="top"/>
          </w:tcPr>
          <w:p>
            <w:pPr>
              <w:pStyle w:val="22"/>
              <w:keepNext w:val="0"/>
              <w:keepLines w:val="0"/>
              <w:widowControl w:val="0"/>
              <w:shd w:val="clear" w:color="auto" w:fill="auto"/>
              <w:bidi w:val="0"/>
              <w:spacing w:before="0" w:after="0" w:line="317" w:lineRule="exact"/>
              <w:ind w:left="0" w:right="0" w:firstLine="0"/>
              <w:jc w:val="left"/>
              <w:rPr>
                <w:sz w:val="20"/>
                <w:szCs w:val="20"/>
              </w:rPr>
            </w:pPr>
            <w:r>
              <w:rPr>
                <w:color w:val="000000"/>
                <w:spacing w:val="0"/>
                <w:w w:val="100"/>
                <w:position w:val="0"/>
                <w:sz w:val="20"/>
                <w:szCs w:val="20"/>
              </w:rPr>
              <w:t>政府性基金预算财政拨款收入支出</w:t>
            </w:r>
            <w:r>
              <w:rPr>
                <w:rFonts w:ascii="Times New Roman" w:hAnsi="Times New Roman" w:eastAsia="Times New Roman" w:cs="Times New Roman"/>
                <w:color w:val="000000"/>
                <w:spacing w:val="0"/>
                <w:w w:val="100"/>
                <w:position w:val="0"/>
                <w:sz w:val="20"/>
                <w:szCs w:val="20"/>
              </w:rPr>
              <w:t xml:space="preserve"> </w:t>
            </w:r>
            <w:r>
              <w:rPr>
                <w:color w:val="000000"/>
                <w:spacing w:val="0"/>
                <w:w w:val="100"/>
                <w:position w:val="0"/>
                <w:sz w:val="20"/>
                <w:szCs w:val="20"/>
              </w:rPr>
              <w:t>决算表</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20"/>
                <w:szCs w:val="20"/>
              </w:rPr>
            </w:pPr>
            <w:r>
              <w:rPr>
                <w:rFonts w:hint="eastAsia" w:eastAsia="宋体"/>
                <w:sz w:val="20"/>
                <w:szCs w:val="20"/>
                <w:lang w:eastAsia="zh-CN"/>
              </w:rPr>
              <w:t>否</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shd w:val="clear" w:color="auto" w:fill="auto"/>
              <w:jc w:val="center"/>
              <w:rPr>
                <w:rFonts w:hint="eastAsia" w:eastAsia="宋体"/>
                <w:sz w:val="20"/>
                <w:szCs w:val="20"/>
                <w:lang w:eastAsia="zh-CN"/>
              </w:rPr>
            </w:pPr>
          </w:p>
        </w:tc>
      </w:tr>
    </w:tbl>
    <w:p>
      <w:pPr>
        <w:sectPr>
          <w:footnotePr>
            <w:numFmt w:val="decimal"/>
          </w:footnotePr>
          <w:pgSz w:w="11900" w:h="16840"/>
          <w:pgMar w:top="1915" w:right="1240" w:bottom="1621" w:left="1393" w:header="1487" w:footer="1193" w:gutter="0"/>
          <w:pgBorders>
            <w:top w:val="none" w:sz="0" w:space="0"/>
            <w:left w:val="none" w:sz="0" w:space="0"/>
            <w:bottom w:val="none" w:sz="0" w:space="0"/>
            <w:right w:val="none" w:sz="0" w:space="0"/>
          </w:pgBorders>
          <w:cols w:space="720" w:num="1"/>
          <w:rtlGutter w:val="0"/>
          <w:docGrid w:linePitch="360" w:charSpace="0"/>
        </w:sectPr>
      </w:pPr>
    </w:p>
    <w:tbl>
      <w:tblPr>
        <w:tblStyle w:val="5"/>
        <w:tblW w:w="8970" w:type="dxa"/>
        <w:tblInd w:w="93" w:type="dxa"/>
        <w:shd w:val="clear" w:color="auto" w:fill="auto"/>
        <w:tblLayout w:type="autofit"/>
        <w:tblCellMar>
          <w:top w:w="0" w:type="dxa"/>
          <w:left w:w="108" w:type="dxa"/>
          <w:bottom w:w="0" w:type="dxa"/>
          <w:right w:w="108" w:type="dxa"/>
        </w:tblCellMar>
      </w:tblPr>
      <w:tblGrid>
        <w:gridCol w:w="3313"/>
        <w:gridCol w:w="1093"/>
        <w:gridCol w:w="2995"/>
        <w:gridCol w:w="1592"/>
      </w:tblGrid>
      <w:tr>
        <w:tblPrEx>
          <w:shd w:val="clear" w:color="auto" w:fill="auto"/>
          <w:tblCellMar>
            <w:top w:w="0" w:type="dxa"/>
            <w:left w:w="108" w:type="dxa"/>
            <w:bottom w:w="0" w:type="dxa"/>
            <w:right w:w="108" w:type="dxa"/>
          </w:tblCellMar>
        </w:tblPrEx>
        <w:trPr>
          <w:trHeight w:val="764" w:hRule="atLeast"/>
        </w:trPr>
        <w:tc>
          <w:tcPr>
            <w:tcW w:w="8970" w:type="dxa"/>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收入支出决算总表</w:t>
            </w:r>
          </w:p>
        </w:tc>
      </w:tr>
      <w:tr>
        <w:tblPrEx>
          <w:tblCellMar>
            <w:top w:w="0" w:type="dxa"/>
            <w:left w:w="108" w:type="dxa"/>
            <w:bottom w:w="0" w:type="dxa"/>
            <w:right w:w="108" w:type="dxa"/>
          </w:tblCellMar>
        </w:tblPrEx>
        <w:trPr>
          <w:trHeight w:val="299"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公开01表</w:t>
            </w:r>
          </w:p>
        </w:tc>
      </w:tr>
      <w:tr>
        <w:tblPrEx>
          <w:tblCellMar>
            <w:top w:w="0" w:type="dxa"/>
            <w:left w:w="108" w:type="dxa"/>
            <w:bottom w:w="0" w:type="dxa"/>
            <w:right w:w="108" w:type="dxa"/>
          </w:tblCellMar>
        </w:tblPrEx>
        <w:trPr>
          <w:trHeight w:val="494" w:hRule="atLeast"/>
        </w:trPr>
        <w:tc>
          <w:tcPr>
            <w:tcW w:w="4170" w:type="dxa"/>
            <w:gridSpan w:val="2"/>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编制部门：中国共产党西安市莲湖区纪律检查委员会</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329"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收入</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支出</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决算数</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决算数</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1、一般公共预算财政拨款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1,300.54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1、一般公共服务支出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1,341.30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2、政府性基金预算财政拨款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2、外交支出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3、国有资本经营预算财政拨款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3、国防支出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4、上级补助收入</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4、公共安全支出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5、事业收入</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5、教育支出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6、经营收入</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6、科学技术支出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7、附属单位上缴收入</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7、文化旅游体育与传媒支出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8、其他收入</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8、社会保障和就业支出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9、卫生健康支出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10、节能环保支出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11、城乡社区支出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12、农林水支出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13、交通运输支出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14、资源勘探信息等支出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15、商业服务业等支出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16、金融支出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17、援助其他地区支出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18、自然资源海洋气象等支出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19、住房保障支出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20、粮油物资储备支出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21、灾害防治及应急管理支出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22、其他支出</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本年收入合计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1,310.75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本年支出合计</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1,362.55</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用事业基金弥补收支差额</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结余分配 </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年初结转和结余</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年末结转和结余</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0.30</w:t>
            </w:r>
          </w:p>
        </w:tc>
      </w:tr>
      <w:tr>
        <w:tblPrEx>
          <w:tblCellMar>
            <w:top w:w="0" w:type="dxa"/>
            <w:left w:w="108" w:type="dxa"/>
            <w:bottom w:w="0" w:type="dxa"/>
            <w:right w:w="108" w:type="dxa"/>
          </w:tblCellMar>
        </w:tblPrEx>
        <w:trPr>
          <w:trHeight w:val="329" w:hRule="atLeast"/>
        </w:trPr>
        <w:tc>
          <w:tcPr>
            <w:tcW w:w="0" w:type="auto"/>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收入总计</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1,362.85</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支出总计</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1,362.85</w:t>
            </w:r>
          </w:p>
        </w:tc>
      </w:tr>
      <w:tr>
        <w:tblPrEx>
          <w:tblCellMar>
            <w:top w:w="0" w:type="dxa"/>
            <w:left w:w="108" w:type="dxa"/>
            <w:bottom w:w="0" w:type="dxa"/>
            <w:right w:w="108" w:type="dxa"/>
          </w:tblCellMar>
        </w:tblPrEx>
        <w:trPr>
          <w:trHeight w:val="629" w:hRule="atLeast"/>
        </w:trPr>
        <w:tc>
          <w:tcPr>
            <w:tcW w:w="0" w:type="auto"/>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注：本表反映部门本年度的总收支和年末结转结余情况。本表金额转换为万元时，因四舍五入可能存在尾差。</w:t>
            </w:r>
          </w:p>
        </w:tc>
      </w:tr>
    </w:tbl>
    <w:p>
      <w:pPr>
        <w:pStyle w:val="14"/>
        <w:keepNext w:val="0"/>
        <w:keepLines w:val="0"/>
        <w:widowControl w:val="0"/>
        <w:shd w:val="clear" w:color="auto" w:fill="auto"/>
        <w:bidi w:val="0"/>
        <w:spacing w:before="0" w:after="160" w:line="240" w:lineRule="auto"/>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160" w:line="240" w:lineRule="auto"/>
        <w:ind w:left="0" w:right="0" w:firstLine="0"/>
        <w:jc w:val="center"/>
        <w:rPr>
          <w:sz w:val="30"/>
          <w:szCs w:val="30"/>
        </w:rPr>
      </w:pPr>
      <w:r>
        <w:rPr>
          <w:color w:val="000000"/>
          <w:spacing w:val="0"/>
          <w:w w:val="100"/>
          <w:position w:val="0"/>
          <w:sz w:val="30"/>
          <w:szCs w:val="30"/>
        </w:rPr>
        <w:t>收入决算表</w:t>
      </w:r>
    </w:p>
    <w:p>
      <w:pPr>
        <w:pStyle w:val="20"/>
        <w:keepNext w:val="0"/>
        <w:keepLines w:val="0"/>
        <w:widowControl w:val="0"/>
        <w:shd w:val="clear" w:color="auto" w:fill="auto"/>
        <w:bidi w:val="0"/>
        <w:spacing w:before="0" w:after="60" w:line="240" w:lineRule="auto"/>
        <w:ind w:left="0" w:right="0" w:firstLine="0"/>
        <w:jc w:val="right"/>
        <w:rPr>
          <w:sz w:val="20"/>
          <w:szCs w:val="20"/>
        </w:rPr>
      </w:pPr>
      <w:r>
        <w:rPr>
          <w:color w:val="000000"/>
          <w:spacing w:val="0"/>
          <w:w w:val="100"/>
          <w:position w:val="0"/>
          <w:sz w:val="20"/>
          <w:szCs w:val="20"/>
        </w:rPr>
        <w:t>公开02表</w:t>
      </w:r>
    </w:p>
    <w:p>
      <w:pPr>
        <w:pStyle w:val="20"/>
        <w:keepNext w:val="0"/>
        <w:keepLines w:val="0"/>
        <w:widowControl w:val="0"/>
        <w:shd w:val="clear" w:color="auto" w:fill="auto"/>
        <w:tabs>
          <w:tab w:val="left" w:pos="6754"/>
        </w:tabs>
        <w:bidi w:val="0"/>
        <w:spacing w:before="0" w:after="0" w:line="240" w:lineRule="auto"/>
        <w:ind w:left="0" w:right="0" w:firstLine="0"/>
        <w:jc w:val="right"/>
        <w:rPr>
          <w:sz w:val="20"/>
          <w:szCs w:val="20"/>
        </w:rPr>
      </w:pPr>
      <w:r>
        <w:rPr>
          <w:color w:val="000000"/>
          <w:spacing w:val="0"/>
          <w:w w:val="100"/>
          <w:position w:val="0"/>
          <w:sz w:val="20"/>
          <w:szCs w:val="20"/>
        </w:rPr>
        <w:t>编制部门：</w:t>
      </w:r>
      <w:r>
        <w:rPr>
          <w:rFonts w:hint="eastAsia"/>
          <w:color w:val="000000"/>
          <w:spacing w:val="0"/>
          <w:w w:val="100"/>
          <w:position w:val="0"/>
          <w:sz w:val="20"/>
          <w:szCs w:val="20"/>
        </w:rPr>
        <w:t>中国共产党西安市莲湖区纪律检查委员会</w:t>
      </w:r>
      <w:r>
        <w:rPr>
          <w:rFonts w:ascii="Times New Roman" w:hAnsi="Times New Roman" w:eastAsia="Times New Roman" w:cs="Times New Roman"/>
          <w:color w:val="000000"/>
          <w:spacing w:val="0"/>
          <w:w w:val="100"/>
          <w:position w:val="0"/>
          <w:sz w:val="20"/>
          <w:szCs w:val="20"/>
        </w:rPr>
        <w:tab/>
      </w:r>
      <w:r>
        <w:rPr>
          <w:color w:val="000000"/>
          <w:spacing w:val="0"/>
          <w:w w:val="100"/>
          <w:position w:val="0"/>
          <w:sz w:val="20"/>
          <w:szCs w:val="20"/>
        </w:rPr>
        <w:t>金额单位：万元</w:t>
      </w:r>
    </w:p>
    <w:tbl>
      <w:tblPr>
        <w:tblStyle w:val="5"/>
        <w:tblW w:w="0" w:type="auto"/>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607"/>
        <w:gridCol w:w="1128"/>
        <w:gridCol w:w="857"/>
        <w:gridCol w:w="864"/>
        <w:gridCol w:w="713"/>
        <w:gridCol w:w="1083"/>
        <w:gridCol w:w="1084"/>
        <w:gridCol w:w="756"/>
        <w:gridCol w:w="979"/>
        <w:gridCol w:w="85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82" w:hRule="exact"/>
          <w:jc w:val="center"/>
        </w:trPr>
        <w:tc>
          <w:tcPr>
            <w:tcW w:w="1735" w:type="dxa"/>
            <w:gridSpan w:val="2"/>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项目</w:t>
            </w:r>
          </w:p>
        </w:tc>
        <w:tc>
          <w:tcPr>
            <w:tcW w:w="857" w:type="dxa"/>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本年收入合计</w:t>
            </w:r>
          </w:p>
        </w:tc>
        <w:tc>
          <w:tcPr>
            <w:tcW w:w="864" w:type="dxa"/>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财政拨款收入</w:t>
            </w:r>
          </w:p>
        </w:tc>
        <w:tc>
          <w:tcPr>
            <w:tcW w:w="713" w:type="dxa"/>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上级补助收入</w:t>
            </w:r>
          </w:p>
        </w:tc>
        <w:tc>
          <w:tcPr>
            <w:tcW w:w="2167" w:type="dxa"/>
            <w:gridSpan w:val="2"/>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事业收入</w:t>
            </w:r>
          </w:p>
        </w:tc>
        <w:tc>
          <w:tcPr>
            <w:tcW w:w="756" w:type="dxa"/>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经营收入</w:t>
            </w:r>
          </w:p>
        </w:tc>
        <w:tc>
          <w:tcPr>
            <w:tcW w:w="979" w:type="dxa"/>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附属单位上缴收入</w:t>
            </w:r>
          </w:p>
        </w:tc>
        <w:tc>
          <w:tcPr>
            <w:tcW w:w="857" w:type="dxa"/>
            <w:vMerge w:val="restart"/>
            <w:tcBorders>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1159" w:hRule="exact"/>
          <w:jc w:val="center"/>
        </w:trPr>
        <w:tc>
          <w:tcPr>
            <w:tcW w:w="607" w:type="dxa"/>
            <w:vMerge w:val="restart"/>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功能分类科目编码</w:t>
            </w:r>
          </w:p>
        </w:tc>
        <w:tc>
          <w:tcPr>
            <w:tcW w:w="1128" w:type="dxa"/>
            <w:vMerge w:val="restart"/>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20"/>
                <w:szCs w:val="20"/>
              </w:rPr>
            </w:pPr>
            <w:r>
              <w:rPr>
                <w:rFonts w:hint="eastAsia" w:ascii="宋体" w:hAnsi="宋体" w:eastAsia="宋体" w:cs="宋体"/>
                <w:i w:val="0"/>
                <w:iCs w:val="0"/>
                <w:color w:val="000000"/>
                <w:kern w:val="0"/>
                <w:sz w:val="22"/>
                <w:szCs w:val="22"/>
                <w:u w:val="none"/>
                <w:lang w:val="en-US" w:eastAsia="zh-CN" w:bidi="ar"/>
              </w:rPr>
              <w:t>科目名称</w:t>
            </w:r>
          </w:p>
        </w:tc>
        <w:tc>
          <w:tcPr>
            <w:tcW w:w="857" w:type="dxa"/>
            <w:vMerge w:val="continue"/>
            <w:tcBorders>
              <w:left w:val="single" w:color="auto" w:sz="4" w:space="0"/>
            </w:tcBorders>
            <w:shd w:val="clear" w:color="auto" w:fill="FFFFFF"/>
            <w:vAlign w:val="center"/>
          </w:tcPr>
          <w:p>
            <w:pPr>
              <w:ind w:left="0" w:leftChars="0" w:right="0" w:rightChars="0" w:firstLine="0" w:firstLineChars="0"/>
              <w:jc w:val="center"/>
            </w:pPr>
          </w:p>
        </w:tc>
        <w:tc>
          <w:tcPr>
            <w:tcW w:w="864" w:type="dxa"/>
            <w:vMerge w:val="continue"/>
            <w:tcBorders>
              <w:left w:val="single" w:color="auto" w:sz="4" w:space="0"/>
            </w:tcBorders>
            <w:shd w:val="clear" w:color="auto" w:fill="FFFFFF"/>
            <w:vAlign w:val="center"/>
          </w:tcPr>
          <w:p>
            <w:pPr>
              <w:ind w:left="0" w:leftChars="0" w:right="0" w:rightChars="0" w:firstLine="0" w:firstLineChars="0"/>
              <w:jc w:val="center"/>
            </w:pPr>
          </w:p>
        </w:tc>
        <w:tc>
          <w:tcPr>
            <w:tcW w:w="713" w:type="dxa"/>
            <w:vMerge w:val="continue"/>
            <w:tcBorders>
              <w:left w:val="single" w:color="auto" w:sz="4" w:space="0"/>
            </w:tcBorders>
            <w:shd w:val="clear" w:color="auto" w:fill="FFFFFF"/>
            <w:vAlign w:val="center"/>
          </w:tcPr>
          <w:p>
            <w:pPr>
              <w:ind w:left="0" w:leftChars="0" w:right="0" w:rightChars="0" w:firstLine="0" w:firstLineChars="0"/>
              <w:jc w:val="center"/>
            </w:pPr>
          </w:p>
        </w:tc>
        <w:tc>
          <w:tcPr>
            <w:tcW w:w="2167" w:type="dxa"/>
            <w:gridSpan w:val="2"/>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20"/>
                <w:szCs w:val="20"/>
              </w:rPr>
            </w:pPr>
          </w:p>
        </w:tc>
        <w:tc>
          <w:tcPr>
            <w:tcW w:w="756" w:type="dxa"/>
            <w:vMerge w:val="continue"/>
            <w:tcBorders>
              <w:left w:val="single" w:color="auto" w:sz="4" w:space="0"/>
            </w:tcBorders>
            <w:shd w:val="clear" w:color="auto" w:fill="FFFFFF"/>
            <w:vAlign w:val="center"/>
          </w:tcPr>
          <w:p>
            <w:pPr>
              <w:ind w:left="0" w:leftChars="0" w:right="0" w:rightChars="0" w:firstLine="0" w:firstLineChars="0"/>
              <w:jc w:val="center"/>
            </w:pPr>
          </w:p>
        </w:tc>
        <w:tc>
          <w:tcPr>
            <w:tcW w:w="979" w:type="dxa"/>
            <w:vMerge w:val="continue"/>
            <w:tcBorders>
              <w:left w:val="single" w:color="auto" w:sz="4" w:space="0"/>
            </w:tcBorders>
            <w:shd w:val="clear" w:color="auto" w:fill="FFFFFF"/>
            <w:vAlign w:val="center"/>
          </w:tcPr>
          <w:p>
            <w:pPr>
              <w:ind w:left="0" w:leftChars="0" w:right="0" w:rightChars="0" w:firstLine="0" w:firstLineChars="0"/>
              <w:jc w:val="center"/>
            </w:pPr>
          </w:p>
        </w:tc>
        <w:tc>
          <w:tcPr>
            <w:tcW w:w="857" w:type="dxa"/>
            <w:vMerge w:val="continue"/>
            <w:tcBorders>
              <w:left w:val="single" w:color="auto" w:sz="4" w:space="0"/>
            </w:tcBorders>
            <w:shd w:val="clear" w:color="auto" w:fill="FFFFFF"/>
            <w:vAlign w:val="center"/>
          </w:tcPr>
          <w:p>
            <w:pPr>
              <w:ind w:left="0" w:leftChars="0" w:right="0" w:rightChars="0" w:firstLine="0" w:firstLineChars="0"/>
              <w:jc w:val="cente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75" w:hRule="exact"/>
          <w:jc w:val="center"/>
        </w:trPr>
        <w:tc>
          <w:tcPr>
            <w:tcW w:w="607" w:type="dxa"/>
            <w:vMerge w:val="continue"/>
            <w:tcBorders>
              <w:top w:val="single" w:color="auto" w:sz="4" w:space="0"/>
            </w:tcBorders>
            <w:shd w:val="clear" w:color="auto" w:fill="FFFFFF"/>
            <w:vAlign w:val="center"/>
          </w:tcPr>
          <w:p>
            <w:pPr>
              <w:ind w:left="0" w:leftChars="0" w:right="0" w:rightChars="0" w:firstLine="0" w:firstLineChars="0"/>
              <w:jc w:val="center"/>
              <w:rPr>
                <w:sz w:val="20"/>
                <w:szCs w:val="20"/>
              </w:rPr>
            </w:pPr>
          </w:p>
        </w:tc>
        <w:tc>
          <w:tcPr>
            <w:tcW w:w="1128"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pPr>
          </w:p>
        </w:tc>
        <w:tc>
          <w:tcPr>
            <w:tcW w:w="857"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864"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713"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1083" w:type="dxa"/>
            <w:vMerge w:val="restart"/>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10"/>
                <w:szCs w:val="10"/>
              </w:rPr>
            </w:pPr>
            <w:r>
              <w:rPr>
                <w:rFonts w:hint="eastAsia" w:ascii="宋体" w:hAnsi="宋体" w:eastAsia="宋体" w:cs="宋体"/>
                <w:i w:val="0"/>
                <w:iCs w:val="0"/>
                <w:color w:val="000000"/>
                <w:kern w:val="0"/>
                <w:sz w:val="22"/>
                <w:szCs w:val="22"/>
                <w:u w:val="none"/>
                <w:lang w:val="en-US" w:eastAsia="zh-CN" w:bidi="ar"/>
              </w:rPr>
              <w:t>小计</w:t>
            </w:r>
          </w:p>
        </w:tc>
        <w:tc>
          <w:tcPr>
            <w:tcW w:w="1084" w:type="dxa"/>
            <w:vMerge w:val="restart"/>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10"/>
                <w:szCs w:val="10"/>
              </w:rPr>
            </w:pPr>
            <w:r>
              <w:rPr>
                <w:rFonts w:hint="eastAsia" w:ascii="宋体" w:hAnsi="宋体" w:eastAsia="宋体" w:cs="宋体"/>
                <w:i w:val="0"/>
                <w:iCs w:val="0"/>
                <w:color w:val="000000"/>
                <w:kern w:val="0"/>
                <w:sz w:val="22"/>
                <w:szCs w:val="22"/>
                <w:u w:val="none"/>
                <w:lang w:val="en-US" w:eastAsia="zh-CN" w:bidi="ar"/>
              </w:rPr>
              <w:t>其中：教育收费</w:t>
            </w:r>
          </w:p>
        </w:tc>
        <w:tc>
          <w:tcPr>
            <w:tcW w:w="756"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979"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857"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75" w:hRule="exact"/>
          <w:jc w:val="center"/>
        </w:trPr>
        <w:tc>
          <w:tcPr>
            <w:tcW w:w="607" w:type="dxa"/>
            <w:vMerge w:val="continue"/>
            <w:tcBorders>
              <w:top w:val="single" w:color="auto" w:sz="4" w:space="0"/>
            </w:tcBorders>
            <w:shd w:val="clear" w:color="auto" w:fill="FFFFFF"/>
            <w:vAlign w:val="center"/>
          </w:tcPr>
          <w:p>
            <w:pPr>
              <w:ind w:left="0" w:leftChars="0" w:right="0" w:rightChars="0" w:firstLine="0" w:firstLineChars="0"/>
              <w:jc w:val="center"/>
              <w:rPr>
                <w:sz w:val="10"/>
                <w:szCs w:val="10"/>
              </w:rPr>
            </w:pPr>
          </w:p>
        </w:tc>
        <w:tc>
          <w:tcPr>
            <w:tcW w:w="1128"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857"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864"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713"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1083"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1084"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756"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979"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c>
          <w:tcPr>
            <w:tcW w:w="857" w:type="dxa"/>
            <w:vMerge w:val="continue"/>
            <w:tcBorders>
              <w:top w:val="single" w:color="auto" w:sz="4" w:space="0"/>
              <w:left w:val="single" w:color="auto" w:sz="4" w:space="0"/>
            </w:tcBorders>
            <w:shd w:val="clear" w:color="auto" w:fill="FFFFFF"/>
            <w:vAlign w:val="center"/>
          </w:tcPr>
          <w:p>
            <w:pPr>
              <w:ind w:left="0" w:leftChars="0" w:right="0" w:rightChars="0" w:firstLine="0" w:firstLineChars="0"/>
              <w:jc w:val="center"/>
              <w:rPr>
                <w:sz w:val="10"/>
                <w:szCs w:val="1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75" w:hRule="exact"/>
          <w:jc w:val="center"/>
        </w:trPr>
        <w:tc>
          <w:tcPr>
            <w:tcW w:w="1735" w:type="dxa"/>
            <w:gridSpan w:val="2"/>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center"/>
              <w:textAlignment w:val="center"/>
              <w:rPr>
                <w:sz w:val="10"/>
                <w:szCs w:val="10"/>
              </w:rPr>
            </w:pPr>
            <w:r>
              <w:rPr>
                <w:rFonts w:hint="eastAsia" w:ascii="宋体" w:hAnsi="宋体" w:eastAsia="宋体" w:cs="宋体"/>
                <w:i w:val="0"/>
                <w:iCs w:val="0"/>
                <w:color w:val="000000"/>
                <w:kern w:val="0"/>
                <w:sz w:val="22"/>
                <w:szCs w:val="22"/>
                <w:u w:val="none"/>
                <w:lang w:val="en-US" w:eastAsia="zh-CN" w:bidi="ar"/>
              </w:rPr>
              <w:t>合计</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1,310.75</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1,300.54</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10.21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0"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201</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一般公共服务支出</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1,289.50</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1,279.29</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10.21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60"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20111</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纪检监察事务</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1,289.50</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1,279.29</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10.21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75"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2011101</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行政运行</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1,105.90</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1,095.69</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10.21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22"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2011102</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一般行政管理事务</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183.60</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183.60</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40"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208</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1.66</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1.66</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05"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20899</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1.66</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1.66</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40"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2089901</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1.66</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1.66</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28"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210</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卫生健康支出</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19.59</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19.59</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72"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21011</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行政事业单位医疗</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19.59</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19.59</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28" w:hRule="exact"/>
          <w:jc w:val="center"/>
        </w:trPr>
        <w:tc>
          <w:tcPr>
            <w:tcW w:w="607" w:type="dxa"/>
            <w:tcBorders>
              <w:top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2101101</w:t>
            </w:r>
          </w:p>
        </w:tc>
        <w:tc>
          <w:tcPr>
            <w:tcW w:w="1128"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left"/>
              <w:textAlignment w:val="center"/>
              <w:rPr>
                <w:sz w:val="10"/>
                <w:szCs w:val="10"/>
              </w:rPr>
            </w:pPr>
            <w:r>
              <w:rPr>
                <w:rFonts w:hint="eastAsia" w:ascii="宋体" w:hAnsi="宋体" w:eastAsia="宋体" w:cs="宋体"/>
                <w:i w:val="0"/>
                <w:iCs w:val="0"/>
                <w:color w:val="000000"/>
                <w:kern w:val="0"/>
                <w:sz w:val="22"/>
                <w:szCs w:val="22"/>
                <w:u w:val="none"/>
                <w:lang w:val="en-US" w:eastAsia="zh-CN" w:bidi="ar"/>
              </w:rPr>
              <w:t>行政单位医疗</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19.59</w:t>
            </w:r>
          </w:p>
        </w:tc>
        <w:tc>
          <w:tcPr>
            <w:tcW w:w="86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19.59</w:t>
            </w:r>
          </w:p>
        </w:tc>
        <w:tc>
          <w:tcPr>
            <w:tcW w:w="71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1084"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756"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979"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c>
          <w:tcPr>
            <w:tcW w:w="857" w:type="dxa"/>
            <w:tcBorders>
              <w:top w:val="single" w:color="auto" w:sz="4" w:space="0"/>
              <w:left w:val="single" w:color="auto" w:sz="4" w:space="0"/>
            </w:tcBorders>
            <w:shd w:val="clear" w:color="auto" w:fill="FFFFFF"/>
            <w:vAlign w:val="center"/>
          </w:tcPr>
          <w:p>
            <w:pPr>
              <w:keepNext w:val="0"/>
              <w:keepLines w:val="0"/>
              <w:widowControl/>
              <w:suppressLineNumbers w:val="0"/>
              <w:ind w:left="0" w:leftChars="0" w:right="0" w:rightChars="0" w:firstLine="0" w:firstLineChars="0"/>
              <w:jc w:val="right"/>
              <w:textAlignment w:val="center"/>
              <w:rPr>
                <w:sz w:val="10"/>
                <w:szCs w:val="10"/>
              </w:rPr>
            </w:pPr>
            <w:r>
              <w:rPr>
                <w:rFonts w:hint="eastAsia" w:ascii="宋体" w:hAnsi="宋体" w:eastAsia="宋体" w:cs="宋体"/>
                <w:i w:val="0"/>
                <w:iCs w:val="0"/>
                <w:color w:val="000000"/>
                <w:kern w:val="0"/>
                <w:sz w:val="22"/>
                <w:szCs w:val="22"/>
                <w:u w:val="none"/>
                <w:lang w:val="en-US" w:eastAsia="zh-CN" w:bidi="ar"/>
              </w:rPr>
              <w:t>0.00</w:t>
            </w:r>
          </w:p>
        </w:tc>
      </w:tr>
    </w:tbl>
    <w:p>
      <w:pPr>
        <w:pStyle w:val="20"/>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注：本表反映部门本年度取得的各项收入情况。本表金额转换为万元时，因四舍五入可能存</w:t>
      </w:r>
    </w:p>
    <w:p>
      <w:pPr>
        <w:pStyle w:val="20"/>
        <w:keepNext w:val="0"/>
        <w:keepLines w:val="0"/>
        <w:widowControl w:val="0"/>
        <w:shd w:val="clear" w:color="auto" w:fill="auto"/>
        <w:bidi w:val="0"/>
        <w:spacing w:before="0" w:after="0" w:line="240" w:lineRule="auto"/>
        <w:ind w:left="418" w:right="0" w:firstLine="0"/>
        <w:jc w:val="left"/>
        <w:rPr>
          <w:sz w:val="20"/>
          <w:szCs w:val="20"/>
        </w:rPr>
      </w:pPr>
      <w:r>
        <w:rPr>
          <w:color w:val="000000"/>
          <w:spacing w:val="0"/>
          <w:w w:val="100"/>
          <w:position w:val="0"/>
          <w:sz w:val="20"/>
          <w:szCs w:val="20"/>
        </w:rPr>
        <w:t>在尾差。</w:t>
      </w:r>
      <w:r>
        <w:br w:type="page"/>
      </w:r>
    </w:p>
    <w:tbl>
      <w:tblPr>
        <w:tblStyle w:val="5"/>
        <w:tblW w:w="9624" w:type="dxa"/>
        <w:tblInd w:w="93" w:type="dxa"/>
        <w:shd w:val="clear" w:color="auto" w:fill="auto"/>
        <w:tblLayout w:type="fixed"/>
        <w:tblCellMar>
          <w:top w:w="0" w:type="dxa"/>
          <w:left w:w="108" w:type="dxa"/>
          <w:bottom w:w="0" w:type="dxa"/>
          <w:right w:w="108" w:type="dxa"/>
        </w:tblCellMar>
      </w:tblPr>
      <w:tblGrid>
        <w:gridCol w:w="1066"/>
        <w:gridCol w:w="222"/>
        <w:gridCol w:w="240"/>
        <w:gridCol w:w="2341"/>
        <w:gridCol w:w="1188"/>
        <w:gridCol w:w="1203"/>
        <w:gridCol w:w="884"/>
        <w:gridCol w:w="713"/>
        <w:gridCol w:w="675"/>
        <w:gridCol w:w="1092"/>
      </w:tblGrid>
      <w:tr>
        <w:tblPrEx>
          <w:shd w:val="clear" w:color="auto" w:fill="auto"/>
          <w:tblCellMar>
            <w:top w:w="0" w:type="dxa"/>
            <w:left w:w="108" w:type="dxa"/>
            <w:bottom w:w="0" w:type="dxa"/>
            <w:right w:w="108" w:type="dxa"/>
          </w:tblCellMar>
        </w:tblPrEx>
        <w:trPr>
          <w:trHeight w:val="749" w:hRule="atLeast"/>
        </w:trPr>
        <w:tc>
          <w:tcPr>
            <w:tcW w:w="9624" w:type="dxa"/>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支出决算表</w:t>
            </w:r>
          </w:p>
        </w:tc>
      </w:tr>
      <w:tr>
        <w:tblPrEx>
          <w:tblCellMar>
            <w:top w:w="0" w:type="dxa"/>
            <w:left w:w="108" w:type="dxa"/>
            <w:bottom w:w="0" w:type="dxa"/>
            <w:right w:w="108" w:type="dxa"/>
          </w:tblCellMar>
        </w:tblPrEx>
        <w:trPr>
          <w:trHeight w:val="569" w:hRule="atLeast"/>
        </w:trPr>
        <w:tc>
          <w:tcPr>
            <w:tcW w:w="106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34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8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9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公开03表</w:t>
            </w:r>
          </w:p>
        </w:tc>
      </w:tr>
      <w:tr>
        <w:tblPrEx>
          <w:tblCellMar>
            <w:top w:w="0" w:type="dxa"/>
            <w:left w:w="108" w:type="dxa"/>
            <w:bottom w:w="0" w:type="dxa"/>
            <w:right w:w="108" w:type="dxa"/>
          </w:tblCellMar>
        </w:tblPrEx>
        <w:trPr>
          <w:trHeight w:val="524" w:hRule="atLeast"/>
        </w:trPr>
        <w:tc>
          <w:tcPr>
            <w:tcW w:w="106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w:t>
            </w: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34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中国共产党西安市莲湖区纪律检查委员会</w:t>
            </w:r>
          </w:p>
        </w:tc>
        <w:tc>
          <w:tcPr>
            <w:tcW w:w="118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3"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88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9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314" w:hRule="atLeast"/>
        </w:trPr>
        <w:tc>
          <w:tcPr>
            <w:tcW w:w="38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1188"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本年支出合计</w:t>
            </w:r>
          </w:p>
        </w:tc>
        <w:tc>
          <w:tcPr>
            <w:tcW w:w="1203"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基本支出</w:t>
            </w:r>
          </w:p>
        </w:tc>
        <w:tc>
          <w:tcPr>
            <w:tcW w:w="884"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项目支出</w:t>
            </w:r>
          </w:p>
        </w:tc>
        <w:tc>
          <w:tcPr>
            <w:tcW w:w="713"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上缴上级支出</w:t>
            </w:r>
          </w:p>
        </w:tc>
        <w:tc>
          <w:tcPr>
            <w:tcW w:w="67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经营支出</w:t>
            </w:r>
          </w:p>
        </w:tc>
        <w:tc>
          <w:tcPr>
            <w:tcW w:w="1092" w:type="dxa"/>
            <w:vMerge w:val="restart"/>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对附属单位补助支出</w:t>
            </w:r>
          </w:p>
        </w:tc>
      </w:tr>
      <w:tr>
        <w:tblPrEx>
          <w:tblCellMar>
            <w:top w:w="0" w:type="dxa"/>
            <w:left w:w="108" w:type="dxa"/>
            <w:bottom w:w="0" w:type="dxa"/>
            <w:right w:w="108" w:type="dxa"/>
          </w:tblCellMar>
        </w:tblPrEx>
        <w:trPr>
          <w:trHeight w:val="314" w:hRule="atLeast"/>
        </w:trPr>
        <w:tc>
          <w:tcPr>
            <w:tcW w:w="1528"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功能分类科目编码</w:t>
            </w:r>
          </w:p>
        </w:tc>
        <w:tc>
          <w:tcPr>
            <w:tcW w:w="2341"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科目名称</w:t>
            </w:r>
          </w:p>
        </w:tc>
        <w:tc>
          <w:tcPr>
            <w:tcW w:w="11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92" w:type="dxa"/>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1528"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41" w:type="dxa"/>
            <w:vMerge w:val="continue"/>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92" w:type="dxa"/>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1528"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341" w:type="dxa"/>
            <w:vMerge w:val="continue"/>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7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92" w:type="dxa"/>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3869" w:type="dxa"/>
            <w:gridSpan w:val="4"/>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1,362.55</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1,178.95</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一般公共服务支出</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1,341.30</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1,157.70</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20111</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纪检监察事务</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1,341.30</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1,157.70</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2011101</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行政运行</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1,157.70</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1,157.70</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2011102</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一般行政管理事务</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208</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社会保障和就业支出</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20899</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其他社会保障和就业支出</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2089901</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其他社会保障和就业支出</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卫生健康支出</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21011</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行政事业单位医疗</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59" w:hRule="atLeast"/>
        </w:trPr>
        <w:tc>
          <w:tcPr>
            <w:tcW w:w="152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2101101</w:t>
            </w:r>
          </w:p>
        </w:tc>
        <w:tc>
          <w:tcPr>
            <w:tcW w:w="234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行政单位医疗</w:t>
            </w:r>
          </w:p>
        </w:tc>
        <w:tc>
          <w:tcPr>
            <w:tcW w:w="11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2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71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6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092"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599" w:hRule="atLeast"/>
        </w:trPr>
        <w:tc>
          <w:tcPr>
            <w:tcW w:w="9624"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注：本表反映部门本年度各项支出情况。本表金额转换为万元时，因四舍五入可能存在尾差。</w:t>
            </w:r>
          </w:p>
        </w:tc>
      </w:tr>
    </w:tbl>
    <w:p>
      <w:pPr>
        <w:pStyle w:val="20"/>
        <w:keepNext w:val="0"/>
        <w:keepLines w:val="0"/>
        <w:widowControl w:val="0"/>
        <w:shd w:val="clear" w:color="auto" w:fill="auto"/>
        <w:bidi w:val="0"/>
        <w:spacing w:before="0" w:after="0" w:line="240" w:lineRule="auto"/>
        <w:ind w:left="0" w:right="0" w:firstLine="0"/>
        <w:jc w:val="left"/>
        <w:rPr>
          <w:sz w:val="20"/>
          <w:szCs w:val="20"/>
        </w:rPr>
      </w:pPr>
      <w:r>
        <w:br w:type="page"/>
      </w:r>
    </w:p>
    <w:tbl>
      <w:tblPr>
        <w:tblStyle w:val="5"/>
        <w:tblW w:w="9943" w:type="dxa"/>
        <w:tblInd w:w="93" w:type="dxa"/>
        <w:shd w:val="clear" w:color="auto" w:fill="auto"/>
        <w:tblLayout w:type="fixed"/>
        <w:tblCellMar>
          <w:top w:w="0" w:type="dxa"/>
          <w:left w:w="108" w:type="dxa"/>
          <w:bottom w:w="0" w:type="dxa"/>
          <w:right w:w="108" w:type="dxa"/>
        </w:tblCellMar>
      </w:tblPr>
      <w:tblGrid>
        <w:gridCol w:w="2931"/>
        <w:gridCol w:w="1151"/>
        <w:gridCol w:w="2674"/>
        <w:gridCol w:w="1100"/>
        <w:gridCol w:w="1112"/>
        <w:gridCol w:w="975"/>
      </w:tblGrid>
      <w:tr>
        <w:tblPrEx>
          <w:shd w:val="clear" w:color="auto" w:fill="auto"/>
          <w:tblCellMar>
            <w:top w:w="0" w:type="dxa"/>
            <w:left w:w="108" w:type="dxa"/>
            <w:bottom w:w="0" w:type="dxa"/>
            <w:right w:w="108" w:type="dxa"/>
          </w:tblCellMar>
        </w:tblPrEx>
        <w:trPr>
          <w:trHeight w:val="509" w:hRule="atLeast"/>
        </w:trPr>
        <w:tc>
          <w:tcPr>
            <w:tcW w:w="9943" w:type="dxa"/>
            <w:gridSpan w:val="6"/>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财政拨款收入支出决算总表</w:t>
            </w:r>
          </w:p>
        </w:tc>
      </w:tr>
      <w:tr>
        <w:tblPrEx>
          <w:tblCellMar>
            <w:top w:w="0" w:type="dxa"/>
            <w:left w:w="108" w:type="dxa"/>
            <w:bottom w:w="0" w:type="dxa"/>
            <w:right w:w="108" w:type="dxa"/>
          </w:tblCellMar>
        </w:tblPrEx>
        <w:trPr>
          <w:trHeight w:val="269" w:hRule="atLeast"/>
        </w:trPr>
        <w:tc>
          <w:tcPr>
            <w:tcW w:w="29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5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67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0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公开04表</w:t>
            </w:r>
          </w:p>
        </w:tc>
      </w:tr>
      <w:tr>
        <w:tblPrEx>
          <w:tblCellMar>
            <w:top w:w="0" w:type="dxa"/>
            <w:left w:w="108" w:type="dxa"/>
            <w:bottom w:w="0" w:type="dxa"/>
            <w:right w:w="108" w:type="dxa"/>
          </w:tblCellMar>
        </w:tblPrEx>
        <w:trPr>
          <w:trHeight w:val="329" w:hRule="atLeast"/>
        </w:trPr>
        <w:tc>
          <w:tcPr>
            <w:tcW w:w="293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编制部门：中国共产党西安市莲湖区纪律检查委员会</w:t>
            </w:r>
          </w:p>
        </w:tc>
        <w:tc>
          <w:tcPr>
            <w:tcW w:w="115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674"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110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314" w:hRule="atLeast"/>
        </w:trPr>
        <w:tc>
          <w:tcPr>
            <w:tcW w:w="4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收     入</w:t>
            </w:r>
          </w:p>
        </w:tc>
        <w:tc>
          <w:tcPr>
            <w:tcW w:w="5861" w:type="dxa"/>
            <w:gridSpan w:val="4"/>
            <w:tcBorders>
              <w:top w:val="single" w:color="000000" w:sz="4" w:space="0"/>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支     出</w:t>
            </w:r>
          </w:p>
        </w:tc>
      </w:tr>
      <w:tr>
        <w:tblPrEx>
          <w:tblCellMar>
            <w:top w:w="0" w:type="dxa"/>
            <w:left w:w="108" w:type="dxa"/>
            <w:bottom w:w="0" w:type="dxa"/>
            <w:right w:w="108" w:type="dxa"/>
          </w:tblCellMar>
        </w:tblPrEx>
        <w:trPr>
          <w:trHeight w:val="284" w:hRule="atLeast"/>
        </w:trPr>
        <w:tc>
          <w:tcPr>
            <w:tcW w:w="2931"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    目</w:t>
            </w:r>
          </w:p>
        </w:tc>
        <w:tc>
          <w:tcPr>
            <w:tcW w:w="1151"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决算数</w:t>
            </w:r>
          </w:p>
        </w:tc>
        <w:tc>
          <w:tcPr>
            <w:tcW w:w="2674"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3187" w:type="dxa"/>
            <w:gridSpan w:val="3"/>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决算数</w:t>
            </w:r>
          </w:p>
        </w:tc>
      </w:tr>
      <w:tr>
        <w:tblPrEx>
          <w:tblCellMar>
            <w:top w:w="0" w:type="dxa"/>
            <w:left w:w="108" w:type="dxa"/>
            <w:bottom w:w="0" w:type="dxa"/>
            <w:right w:w="108" w:type="dxa"/>
          </w:tblCellMar>
        </w:tblPrEx>
        <w:trPr>
          <w:trHeight w:val="554" w:hRule="atLeast"/>
        </w:trPr>
        <w:tc>
          <w:tcPr>
            <w:tcW w:w="2931"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51"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74"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11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一般公共预算财政拨款</w:t>
            </w:r>
          </w:p>
        </w:tc>
        <w:tc>
          <w:tcPr>
            <w:tcW w:w="975" w:type="dxa"/>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政府性基金预算财政拨款</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1、一般公共预算财政拨款</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1,300.54</w:t>
            </w: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1、一般公共服务支出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1,328.79</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1,328.79</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2、政府性基金预算财政拨款</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2、外交支出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3、国有资本经营预算收入</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3、国防支出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4、公共安全支出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5、教育支出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6、科学技术支出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7、文化旅游体育与传媒支出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8、社会保障和就业支出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9、卫生健康支出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10、节能环保支出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11、城乡社区支出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12、农林水支出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13、交通运输支出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14、资源勘探信息等支出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15、商业服务业等支出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16、金融支出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17、援助其他地区支出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18、自然资源海洋气象等支出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19、住房保障支出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20、粮油物资储备支出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21、灾害防治及应急管理支出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22、其他支出</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本年收入合计</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1,300.54</w:t>
            </w: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本年支出合计</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1,350.04</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1,350.04</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年初财政拨款结转和结余</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49.50</w:t>
            </w:r>
          </w:p>
        </w:tc>
        <w:tc>
          <w:tcPr>
            <w:tcW w:w="267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年末财政拨款结转和结余</w:t>
            </w:r>
          </w:p>
        </w:tc>
        <w:tc>
          <w:tcPr>
            <w:tcW w:w="11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11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97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1、一般公共预算财政拨款</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49.50</w:t>
            </w:r>
          </w:p>
        </w:tc>
        <w:tc>
          <w:tcPr>
            <w:tcW w:w="2674"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11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5"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2、政府性基金预算财政拨款</w:t>
            </w:r>
          </w:p>
        </w:tc>
        <w:tc>
          <w:tcPr>
            <w:tcW w:w="11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2674"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1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5"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2931" w:type="dxa"/>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总计</w:t>
            </w:r>
          </w:p>
        </w:tc>
        <w:tc>
          <w:tcPr>
            <w:tcW w:w="1151"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1,350.04</w:t>
            </w:r>
          </w:p>
        </w:tc>
        <w:tc>
          <w:tcPr>
            <w:tcW w:w="2674"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总计</w:t>
            </w:r>
          </w:p>
        </w:tc>
        <w:tc>
          <w:tcPr>
            <w:tcW w:w="1100"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1,350.04</w:t>
            </w:r>
          </w:p>
        </w:tc>
        <w:tc>
          <w:tcPr>
            <w:tcW w:w="1112"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1,350.04</w:t>
            </w:r>
          </w:p>
        </w:tc>
        <w:tc>
          <w:tcPr>
            <w:tcW w:w="9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r>
    </w:tbl>
    <w:p>
      <w:pPr>
        <w:pStyle w:val="14"/>
        <w:keepNext w:val="0"/>
        <w:keepLines w:val="0"/>
        <w:widowControl w:val="0"/>
        <w:shd w:val="clear" w:color="auto" w:fill="auto"/>
        <w:bidi w:val="0"/>
        <w:spacing w:before="0" w:after="180" w:line="240" w:lineRule="auto"/>
        <w:ind w:left="0" w:leftChars="0" w:right="0" w:firstLine="0" w:firstLineChars="0"/>
        <w:jc w:val="left"/>
        <w:rPr>
          <w:color w:val="000000"/>
          <w:spacing w:val="0"/>
          <w:w w:val="100"/>
          <w:position w:val="0"/>
          <w:sz w:val="30"/>
          <w:szCs w:val="30"/>
        </w:rPr>
      </w:pPr>
    </w:p>
    <w:p>
      <w:pPr>
        <w:pStyle w:val="20"/>
        <w:keepNext w:val="0"/>
        <w:keepLines w:val="0"/>
        <w:widowControl w:val="0"/>
        <w:shd w:val="clear" w:color="auto" w:fill="auto"/>
        <w:bidi w:val="0"/>
        <w:spacing w:before="0" w:after="0" w:line="310" w:lineRule="exact"/>
        <w:ind w:left="22" w:right="0" w:firstLine="0"/>
        <w:jc w:val="left"/>
        <w:rPr>
          <w:sz w:val="20"/>
          <w:szCs w:val="20"/>
        </w:rPr>
      </w:pPr>
    </w:p>
    <w:tbl>
      <w:tblPr>
        <w:tblStyle w:val="5"/>
        <w:tblW w:w="8997" w:type="dxa"/>
        <w:tblInd w:w="93" w:type="dxa"/>
        <w:shd w:val="clear" w:color="auto" w:fill="auto"/>
        <w:tblLayout w:type="fixed"/>
        <w:tblCellMar>
          <w:top w:w="0" w:type="dxa"/>
          <w:left w:w="108" w:type="dxa"/>
          <w:bottom w:w="0" w:type="dxa"/>
          <w:right w:w="108" w:type="dxa"/>
        </w:tblCellMar>
      </w:tblPr>
      <w:tblGrid>
        <w:gridCol w:w="901"/>
        <w:gridCol w:w="222"/>
        <w:gridCol w:w="240"/>
        <w:gridCol w:w="1918"/>
        <w:gridCol w:w="1337"/>
        <w:gridCol w:w="1048"/>
        <w:gridCol w:w="819"/>
        <w:gridCol w:w="846"/>
        <w:gridCol w:w="812"/>
        <w:gridCol w:w="854"/>
      </w:tblGrid>
      <w:tr>
        <w:tblPrEx>
          <w:shd w:val="clear" w:color="auto" w:fill="auto"/>
          <w:tblCellMar>
            <w:top w:w="0" w:type="dxa"/>
            <w:left w:w="108" w:type="dxa"/>
            <w:bottom w:w="0" w:type="dxa"/>
            <w:right w:w="108" w:type="dxa"/>
          </w:tblCellMar>
        </w:tblPrEx>
        <w:trPr>
          <w:trHeight w:val="719" w:hRule="atLeast"/>
        </w:trPr>
        <w:tc>
          <w:tcPr>
            <w:tcW w:w="8997" w:type="dxa"/>
            <w:gridSpan w:val="10"/>
            <w:tcBorders>
              <w:top w:val="nil"/>
              <w:left w:val="nil"/>
              <w:bottom w:val="nil"/>
              <w:right w:val="nil"/>
            </w:tcBorders>
            <w:shd w:val="clear" w:color="auto" w:fill="auto"/>
            <w:noWrap/>
            <w:vAlign w:val="bottom"/>
          </w:tcPr>
          <w:p>
            <w:pPr>
              <w:jc w:val="cente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一般公共预算财政拨款支出决算表</w:t>
            </w:r>
          </w:p>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（按功能分类科目）</w:t>
            </w:r>
          </w:p>
        </w:tc>
      </w:tr>
      <w:tr>
        <w:tblPrEx>
          <w:tblCellMar>
            <w:top w:w="0" w:type="dxa"/>
            <w:left w:w="108" w:type="dxa"/>
            <w:bottom w:w="0" w:type="dxa"/>
            <w:right w:w="108" w:type="dxa"/>
          </w:tblCellMar>
        </w:tblPrEx>
        <w:trPr>
          <w:trHeight w:val="329" w:hRule="atLeast"/>
        </w:trPr>
        <w:tc>
          <w:tcPr>
            <w:tcW w:w="90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91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3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4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1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4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5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公开05表</w:t>
            </w:r>
          </w:p>
        </w:tc>
      </w:tr>
      <w:tr>
        <w:tblPrEx>
          <w:tblCellMar>
            <w:top w:w="0" w:type="dxa"/>
            <w:left w:w="108" w:type="dxa"/>
            <w:bottom w:w="0" w:type="dxa"/>
            <w:right w:w="108" w:type="dxa"/>
          </w:tblCellMar>
        </w:tblPrEx>
        <w:trPr>
          <w:trHeight w:val="509" w:hRule="atLeast"/>
        </w:trPr>
        <w:tc>
          <w:tcPr>
            <w:tcW w:w="9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w:t>
            </w: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91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中国共产党西安市莲湖区纪律检查委员会</w:t>
            </w:r>
          </w:p>
        </w:tc>
        <w:tc>
          <w:tcPr>
            <w:tcW w:w="133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4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19"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84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5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494" w:hRule="atLeast"/>
        </w:trPr>
        <w:tc>
          <w:tcPr>
            <w:tcW w:w="32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1337"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本年支出合计</w:t>
            </w:r>
          </w:p>
        </w:tc>
        <w:tc>
          <w:tcPr>
            <w:tcW w:w="2713"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基本支出</w:t>
            </w:r>
          </w:p>
        </w:tc>
        <w:tc>
          <w:tcPr>
            <w:tcW w:w="81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项目支出</w:t>
            </w:r>
          </w:p>
        </w:tc>
        <w:tc>
          <w:tcPr>
            <w:tcW w:w="854" w:type="dxa"/>
            <w:vMerge w:val="restart"/>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tblPrEx>
          <w:tblCellMar>
            <w:top w:w="0" w:type="dxa"/>
            <w:left w:w="108" w:type="dxa"/>
            <w:bottom w:w="0" w:type="dxa"/>
            <w:right w:w="108" w:type="dxa"/>
          </w:tblCellMar>
        </w:tblPrEx>
        <w:trPr>
          <w:trHeight w:val="314" w:hRule="atLeast"/>
        </w:trPr>
        <w:tc>
          <w:tcPr>
            <w:tcW w:w="1363"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功能分类科目编码</w:t>
            </w:r>
          </w:p>
        </w:tc>
        <w:tc>
          <w:tcPr>
            <w:tcW w:w="1918"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科目名称</w:t>
            </w:r>
          </w:p>
        </w:tc>
        <w:tc>
          <w:tcPr>
            <w:tcW w:w="133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8"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819"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人员经费</w:t>
            </w:r>
          </w:p>
        </w:tc>
        <w:tc>
          <w:tcPr>
            <w:tcW w:w="846"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公用经费</w:t>
            </w:r>
          </w:p>
        </w:tc>
        <w:tc>
          <w:tcPr>
            <w:tcW w:w="81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4" w:type="dxa"/>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69" w:hRule="atLeast"/>
        </w:trPr>
        <w:tc>
          <w:tcPr>
            <w:tcW w:w="1363"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1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19"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46"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1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4" w:type="dxa"/>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14" w:hRule="atLeast"/>
        </w:trPr>
        <w:tc>
          <w:tcPr>
            <w:tcW w:w="1363"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1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19"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46"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1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4" w:type="dxa"/>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3281"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1,350.04</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1,166.44</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1,015.97</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150.47</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一般公共服务支出</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1,328.79</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1,145.19</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994.72</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150.47</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20111</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纪检监察事务</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1,328.79</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1,145.19</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994.72</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150.47</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2011101</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行政运行</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1,145.19</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1,145.19</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994.72</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150.47</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2011102</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一般行政管理事务</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183.60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208</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社会保障和就业支出</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20899</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其他社会保障和就业支出</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2089901</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其他社会保障和就业支出</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1.66</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卫生健康支出</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21011</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行政事业单位医疗</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9" w:hRule="atLeast"/>
        </w:trPr>
        <w:tc>
          <w:tcPr>
            <w:tcW w:w="136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2101101</w:t>
            </w:r>
          </w:p>
        </w:tc>
        <w:tc>
          <w:tcPr>
            <w:tcW w:w="19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行政单位医疗</w:t>
            </w:r>
          </w:p>
        </w:tc>
        <w:tc>
          <w:tcPr>
            <w:tcW w:w="13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104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19.59</w:t>
            </w:r>
          </w:p>
        </w:tc>
        <w:tc>
          <w:tcPr>
            <w:tcW w:w="84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854" w:type="dxa"/>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94" w:hRule="atLeast"/>
        </w:trPr>
        <w:tc>
          <w:tcPr>
            <w:tcW w:w="8997"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注：本表反映部门本年度一般公共预算财政拨款实际支出情况。本表金额转换为万元时，因四舍五入可能存在尾差。</w:t>
            </w:r>
          </w:p>
        </w:tc>
      </w:tr>
    </w:tbl>
    <w:p>
      <w:pPr>
        <w:pStyle w:val="20"/>
        <w:keepNext w:val="0"/>
        <w:keepLines w:val="0"/>
        <w:widowControl w:val="0"/>
        <w:shd w:val="clear" w:color="auto" w:fill="auto"/>
        <w:bidi w:val="0"/>
        <w:spacing w:before="0" w:after="0" w:line="310" w:lineRule="exact"/>
        <w:ind w:left="22" w:right="0" w:firstLine="0"/>
        <w:jc w:val="left"/>
        <w:rPr>
          <w:sz w:val="20"/>
          <w:szCs w:val="20"/>
        </w:rPr>
        <w:sectPr>
          <w:footnotePr>
            <w:numFmt w:val="decimal"/>
          </w:footnotePr>
          <w:pgSz w:w="11900" w:h="16840"/>
          <w:pgMar w:top="1668" w:right="1376" w:bottom="1668" w:left="1654" w:header="1240" w:footer="1240" w:gutter="0"/>
          <w:pgBorders>
            <w:top w:val="none" w:sz="0" w:space="0"/>
            <w:left w:val="none" w:sz="0" w:space="0"/>
            <w:bottom w:val="none" w:sz="0" w:space="0"/>
            <w:right w:val="none" w:sz="0" w:space="0"/>
          </w:pgBorders>
          <w:cols w:space="720" w:num="1"/>
          <w:rtlGutter w:val="0"/>
          <w:docGrid w:linePitch="360" w:charSpace="0"/>
        </w:sectPr>
      </w:pPr>
    </w:p>
    <w:tbl>
      <w:tblPr>
        <w:tblStyle w:val="5"/>
        <w:tblW w:w="0" w:type="auto"/>
        <w:tblInd w:w="93" w:type="dxa"/>
        <w:shd w:val="clear" w:color="auto" w:fill="auto"/>
        <w:tblLayout w:type="autofit"/>
        <w:tblCellMar>
          <w:top w:w="0" w:type="dxa"/>
          <w:left w:w="108" w:type="dxa"/>
          <w:bottom w:w="0" w:type="dxa"/>
          <w:right w:w="108" w:type="dxa"/>
        </w:tblCellMar>
      </w:tblPr>
      <w:tblGrid>
        <w:gridCol w:w="943"/>
        <w:gridCol w:w="220"/>
        <w:gridCol w:w="220"/>
        <w:gridCol w:w="2832"/>
        <w:gridCol w:w="855"/>
        <w:gridCol w:w="855"/>
        <w:gridCol w:w="696"/>
        <w:gridCol w:w="1234"/>
      </w:tblGrid>
      <w:tr>
        <w:tblPrEx>
          <w:shd w:val="clear" w:color="auto" w:fill="auto"/>
          <w:tblCellMar>
            <w:top w:w="0" w:type="dxa"/>
            <w:left w:w="108" w:type="dxa"/>
            <w:bottom w:w="0" w:type="dxa"/>
            <w:right w:w="108" w:type="dxa"/>
          </w:tblCellMar>
        </w:tblPrEx>
        <w:trPr>
          <w:trHeight w:val="584" w:hRule="atLeast"/>
        </w:trPr>
        <w:tc>
          <w:tcPr>
            <w:tcW w:w="0" w:type="auto"/>
            <w:gridSpan w:val="8"/>
            <w:tcBorders>
              <w:top w:val="nil"/>
              <w:left w:val="nil"/>
              <w:bottom w:val="nil"/>
              <w:right w:val="nil"/>
            </w:tcBorders>
            <w:shd w:val="clear" w:color="auto" w:fill="auto"/>
            <w:noWrap/>
            <w:vAlign w:val="bottom"/>
          </w:tcPr>
          <w:p>
            <w:pPr>
              <w:jc w:val="cente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一般公共预算财政拨款基本支出决算表</w:t>
            </w:r>
          </w:p>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（按经济分类科目）</w:t>
            </w:r>
          </w:p>
        </w:tc>
      </w:tr>
      <w:tr>
        <w:tblPrEx>
          <w:tblCellMar>
            <w:top w:w="0" w:type="dxa"/>
            <w:left w:w="108" w:type="dxa"/>
            <w:bottom w:w="0" w:type="dxa"/>
            <w:right w:w="108" w:type="dxa"/>
          </w:tblCellMar>
        </w:tblPrEx>
        <w:trPr>
          <w:trHeight w:val="276"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公开06表</w:t>
            </w:r>
          </w:p>
        </w:tc>
      </w:tr>
      <w:tr>
        <w:tblPrEx>
          <w:tblCellMar>
            <w:top w:w="0" w:type="dxa"/>
            <w:left w:w="108" w:type="dxa"/>
            <w:bottom w:w="0" w:type="dxa"/>
            <w:right w:w="108" w:type="dxa"/>
          </w:tblCellMar>
        </w:tblPrEx>
        <w:trPr>
          <w:trHeight w:val="73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中国共产党西安市莲湖区纪律检查委员会</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314"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0" w:type="auto"/>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本年支出合计</w:t>
            </w:r>
          </w:p>
        </w:tc>
        <w:tc>
          <w:tcPr>
            <w:tcW w:w="0" w:type="auto"/>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人员经费</w:t>
            </w:r>
          </w:p>
        </w:tc>
        <w:tc>
          <w:tcPr>
            <w:tcW w:w="0" w:type="auto"/>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公用经费</w:t>
            </w:r>
          </w:p>
        </w:tc>
        <w:tc>
          <w:tcPr>
            <w:tcW w:w="0" w:type="auto"/>
            <w:vMerge w:val="restart"/>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tblPrEx>
          <w:tblCellMar>
            <w:top w:w="0" w:type="dxa"/>
            <w:left w:w="108" w:type="dxa"/>
            <w:bottom w:w="0" w:type="dxa"/>
            <w:right w:w="108" w:type="dxa"/>
          </w:tblCellMar>
        </w:tblPrEx>
        <w:trPr>
          <w:trHeight w:val="314" w:hRule="atLeast"/>
        </w:trPr>
        <w:tc>
          <w:tcPr>
            <w:tcW w:w="0" w:type="auto"/>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经济分类科目编码</w:t>
            </w: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科目名称</w:t>
            </w: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69" w:hRule="atLeast"/>
        </w:trPr>
        <w:tc>
          <w:tcPr>
            <w:tcW w:w="0" w:type="auto"/>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14" w:hRule="atLeast"/>
        </w:trPr>
        <w:tc>
          <w:tcPr>
            <w:tcW w:w="0" w:type="auto"/>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4" w:hRule="atLeast"/>
        </w:trPr>
        <w:tc>
          <w:tcPr>
            <w:tcW w:w="0" w:type="auto"/>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1,166.44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1,015.97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150.47</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工资福利支出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1015.97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1015.97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基本工资</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325.95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325.95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津贴补贴</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225.23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225.23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奖金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375.96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375.96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机关事业单位基本养老保险缴费</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67.26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67.26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职工基本医疗保险缴费</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19.08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公务员医疗补助缴费</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0.72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0.72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其他社会保障缴费</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30199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其他工资福利支出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0.33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0.33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商品和服务支出</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150.47</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办公费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55.73</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邮电费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2.28</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差旅费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0.6</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培训费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4.79</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30226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劳务费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9.82</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委托业务费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7.93</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工会经费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9.78</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公务用车运行维护费</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1.52</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5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30239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其他交通费用</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58.02</w:t>
            </w: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bl>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tbl>
      <w:tblPr>
        <w:tblStyle w:val="5"/>
        <w:tblW w:w="0" w:type="auto"/>
        <w:tblInd w:w="93" w:type="dxa"/>
        <w:shd w:val="clear" w:color="auto" w:fill="auto"/>
        <w:tblLayout w:type="autofit"/>
        <w:tblCellMar>
          <w:top w:w="0" w:type="dxa"/>
          <w:left w:w="108" w:type="dxa"/>
          <w:bottom w:w="0" w:type="dxa"/>
          <w:right w:w="108" w:type="dxa"/>
        </w:tblCellMar>
      </w:tblPr>
      <w:tblGrid>
        <w:gridCol w:w="2679"/>
        <w:gridCol w:w="570"/>
        <w:gridCol w:w="638"/>
        <w:gridCol w:w="741"/>
        <w:gridCol w:w="570"/>
        <w:gridCol w:w="567"/>
        <w:gridCol w:w="638"/>
        <w:gridCol w:w="486"/>
        <w:gridCol w:w="966"/>
      </w:tblGrid>
      <w:tr>
        <w:tblPrEx>
          <w:shd w:val="clear" w:color="auto" w:fill="auto"/>
          <w:tblCellMar>
            <w:top w:w="0" w:type="dxa"/>
            <w:left w:w="108" w:type="dxa"/>
            <w:bottom w:w="0" w:type="dxa"/>
            <w:right w:w="108" w:type="dxa"/>
          </w:tblCellMar>
        </w:tblPrEx>
        <w:trPr>
          <w:trHeight w:val="794" w:hRule="atLeast"/>
        </w:trPr>
        <w:tc>
          <w:tcPr>
            <w:tcW w:w="0" w:type="auto"/>
            <w:gridSpan w:val="9"/>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一般公共预算财政拨款“三公”经费及会议费、培训费支出决算表</w:t>
            </w:r>
          </w:p>
        </w:tc>
      </w:tr>
      <w:tr>
        <w:tblPrEx>
          <w:tblCellMar>
            <w:top w:w="0" w:type="dxa"/>
            <w:left w:w="108" w:type="dxa"/>
            <w:bottom w:w="0" w:type="dxa"/>
            <w:right w:w="108" w:type="dxa"/>
          </w:tblCellMar>
        </w:tblPrEx>
        <w:trPr>
          <w:trHeight w:val="314"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公开07表</w:t>
            </w:r>
          </w:p>
        </w:tc>
      </w:tr>
      <w:tr>
        <w:tblPrEx>
          <w:tblCellMar>
            <w:top w:w="0" w:type="dxa"/>
            <w:left w:w="108" w:type="dxa"/>
            <w:bottom w:w="0" w:type="dxa"/>
            <w:right w:w="108" w:type="dxa"/>
          </w:tblCellMar>
        </w:tblPrEx>
        <w:trPr>
          <w:trHeight w:val="419"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编制部门：中国共产党西安市莲湖区纪律检查委员会</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55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0" w:type="auto"/>
            <w:gridSpan w:val="6"/>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一般公共预算财政拨款安排的“三公”经费</w:t>
            </w:r>
          </w:p>
        </w:tc>
        <w:tc>
          <w:tcPr>
            <w:tcW w:w="0" w:type="auto"/>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会议费</w:t>
            </w:r>
          </w:p>
        </w:tc>
        <w:tc>
          <w:tcPr>
            <w:tcW w:w="0" w:type="auto"/>
            <w:vMerge w:val="restart"/>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培训费</w:t>
            </w:r>
          </w:p>
        </w:tc>
      </w:tr>
      <w:tr>
        <w:tblPrEx>
          <w:tblCellMar>
            <w:top w:w="0" w:type="dxa"/>
            <w:left w:w="108" w:type="dxa"/>
            <w:bottom w:w="0" w:type="dxa"/>
            <w:right w:w="108" w:type="dxa"/>
          </w:tblCellMar>
        </w:tblPrEx>
        <w:trPr>
          <w:trHeight w:val="4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因公出国（境）费用</w:t>
            </w: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公务接待费</w:t>
            </w:r>
          </w:p>
        </w:tc>
        <w:tc>
          <w:tcPr>
            <w:tcW w:w="0" w:type="auto"/>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公务用车购置及运行维护费</w:t>
            </w: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公务用车购置费</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公务用车运行维护费</w:t>
            </w: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2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0" w:type="auto"/>
            <w:tcBorders>
              <w:top w:val="nil"/>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0" w:type="auto"/>
            <w:tcBorders>
              <w:top w:val="nil"/>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0" w:type="auto"/>
            <w:tcBorders>
              <w:top w:val="nil"/>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0" w:type="auto"/>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r>
      <w:tr>
        <w:tblPrEx>
          <w:tblCellMar>
            <w:top w:w="0" w:type="dxa"/>
            <w:left w:w="108" w:type="dxa"/>
            <w:bottom w:w="0" w:type="dxa"/>
            <w:right w:w="108" w:type="dxa"/>
          </w:tblCellMar>
        </w:tblPrEx>
        <w:trPr>
          <w:trHeight w:val="4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本年数</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20.22</w:t>
            </w:r>
          </w:p>
        </w:tc>
      </w:tr>
      <w:tr>
        <w:tblPrEx>
          <w:tblCellMar>
            <w:top w:w="0" w:type="dxa"/>
            <w:left w:w="108" w:type="dxa"/>
            <w:bottom w:w="0" w:type="dxa"/>
            <w:right w:w="108" w:type="dxa"/>
          </w:tblCellMar>
        </w:tblPrEx>
        <w:trPr>
          <w:trHeight w:val="4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上年数</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0.83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0.78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4.1</w:t>
            </w:r>
          </w:p>
        </w:tc>
      </w:tr>
      <w:tr>
        <w:tblPrEx>
          <w:tblCellMar>
            <w:top w:w="0" w:type="dxa"/>
            <w:left w:w="108" w:type="dxa"/>
            <w:bottom w:w="0" w:type="dxa"/>
            <w:right w:w="108" w:type="dxa"/>
          </w:tblCellMar>
        </w:tblPrEx>
        <w:trPr>
          <w:trHeight w:val="4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增减额</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0.68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0.73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16.12</w:t>
            </w:r>
          </w:p>
        </w:tc>
      </w:tr>
      <w:tr>
        <w:tblPrEx>
          <w:tblCellMar>
            <w:top w:w="0" w:type="dxa"/>
            <w:left w:w="108" w:type="dxa"/>
            <w:bottom w:w="0" w:type="dxa"/>
            <w:right w:w="108" w:type="dxa"/>
          </w:tblCellMar>
        </w:tblPrEx>
        <w:trPr>
          <w:trHeight w:val="44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增减率（%）</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81.93%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93.59%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93.59%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393.17%</w:t>
            </w:r>
          </w:p>
        </w:tc>
      </w:tr>
      <w:tr>
        <w:tblPrEx>
          <w:tblCellMar>
            <w:top w:w="0" w:type="dxa"/>
            <w:left w:w="108" w:type="dxa"/>
            <w:bottom w:w="0" w:type="dxa"/>
            <w:right w:w="108" w:type="dxa"/>
          </w:tblCellMar>
        </w:tblPrEx>
        <w:trPr>
          <w:trHeight w:val="449"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预算数</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1.53</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5.27</w:t>
            </w:r>
          </w:p>
        </w:tc>
      </w:tr>
      <w:tr>
        <w:tblPrEx>
          <w:tblCellMar>
            <w:top w:w="0" w:type="dxa"/>
            <w:left w:w="108" w:type="dxa"/>
            <w:bottom w:w="0" w:type="dxa"/>
            <w:right w:w="108" w:type="dxa"/>
          </w:tblCellMar>
        </w:tblPrEx>
        <w:trPr>
          <w:trHeight w:val="449" w:hRule="atLeast"/>
        </w:trPr>
        <w:tc>
          <w:tcPr>
            <w:tcW w:w="0" w:type="auto"/>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决算数</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1.51</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1.51</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0.00</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20.22</w:t>
            </w:r>
          </w:p>
        </w:tc>
      </w:tr>
      <w:tr>
        <w:tblPrEx>
          <w:tblCellMar>
            <w:top w:w="0" w:type="dxa"/>
            <w:left w:w="108" w:type="dxa"/>
            <w:bottom w:w="0" w:type="dxa"/>
            <w:right w:w="108" w:type="dxa"/>
          </w:tblCellMar>
        </w:tblPrEx>
        <w:trPr>
          <w:trHeight w:val="554" w:hRule="atLeast"/>
        </w:trPr>
        <w:tc>
          <w:tcPr>
            <w:tcW w:w="0" w:type="auto"/>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注：本表反映部门本年度一般公共预算财政拨款“三公”经费、会议费、培训费的预算数和实际支出。预算数为调整预算数。本表金额转换为万元时，因四舍五入可能存在尾差。</w:t>
            </w:r>
          </w:p>
        </w:tc>
      </w:tr>
    </w:tbl>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both"/>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tbl>
      <w:tblPr>
        <w:tblStyle w:val="5"/>
        <w:tblW w:w="0" w:type="auto"/>
        <w:tblInd w:w="93" w:type="dxa"/>
        <w:shd w:val="clear" w:color="auto" w:fill="auto"/>
        <w:tblLayout w:type="autofit"/>
        <w:tblCellMar>
          <w:top w:w="0" w:type="dxa"/>
          <w:left w:w="108" w:type="dxa"/>
          <w:bottom w:w="0" w:type="dxa"/>
          <w:right w:w="108" w:type="dxa"/>
        </w:tblCellMar>
      </w:tblPr>
      <w:tblGrid>
        <w:gridCol w:w="942"/>
        <w:gridCol w:w="220"/>
        <w:gridCol w:w="220"/>
        <w:gridCol w:w="2829"/>
        <w:gridCol w:w="376"/>
        <w:gridCol w:w="688"/>
        <w:gridCol w:w="376"/>
        <w:gridCol w:w="376"/>
        <w:gridCol w:w="376"/>
        <w:gridCol w:w="1232"/>
        <w:gridCol w:w="220"/>
      </w:tblGrid>
      <w:tr>
        <w:tblPrEx>
          <w:shd w:val="clear" w:color="auto" w:fill="auto"/>
          <w:tblCellMar>
            <w:top w:w="0" w:type="dxa"/>
            <w:left w:w="108" w:type="dxa"/>
            <w:bottom w:w="0" w:type="dxa"/>
            <w:right w:w="108" w:type="dxa"/>
          </w:tblCellMar>
        </w:tblPrEx>
        <w:trPr>
          <w:trHeight w:val="779" w:hRule="atLeast"/>
        </w:trPr>
        <w:tc>
          <w:tcPr>
            <w:tcW w:w="0" w:type="auto"/>
            <w:gridSpan w:val="11"/>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政府性基金预算财政拨款收入支出决算表</w:t>
            </w:r>
          </w:p>
        </w:tc>
      </w:tr>
      <w:tr>
        <w:tblPrEx>
          <w:tblCellMar>
            <w:top w:w="0" w:type="dxa"/>
            <w:left w:w="108" w:type="dxa"/>
            <w:bottom w:w="0" w:type="dxa"/>
            <w:right w:w="108" w:type="dxa"/>
          </w:tblCellMar>
        </w:tblPrEx>
        <w:trPr>
          <w:trHeight w:val="494"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公开08表</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49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中国共产党西安市莲湖区纪律检查委员会</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2019年</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0" w:type="auto"/>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年初结转和结余</w:t>
            </w:r>
          </w:p>
        </w:tc>
        <w:tc>
          <w:tcPr>
            <w:tcW w:w="0" w:type="auto"/>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本年收入</w:t>
            </w:r>
          </w:p>
        </w:tc>
        <w:tc>
          <w:tcPr>
            <w:tcW w:w="0" w:type="auto"/>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本年支出</w:t>
            </w:r>
          </w:p>
        </w:tc>
        <w:tc>
          <w:tcPr>
            <w:tcW w:w="0" w:type="auto"/>
            <w:vMerge w:val="restart"/>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年末结转和结余</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科目名称</w:t>
            </w: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基本支出</w:t>
            </w:r>
          </w:p>
        </w:tc>
        <w:tc>
          <w:tcPr>
            <w:tcW w:w="0" w:type="auto"/>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项目支出</w:t>
            </w: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614" w:hRule="atLeast"/>
        </w:trPr>
        <w:tc>
          <w:tcPr>
            <w:tcW w:w="0" w:type="auto"/>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314" w:hRule="atLeast"/>
        </w:trPr>
        <w:tc>
          <w:tcPr>
            <w:tcW w:w="0" w:type="auto"/>
            <w:gridSpan w:val="3"/>
            <w:tcBorders>
              <w:top w:val="nil"/>
              <w:left w:val="single" w:color="000000" w:sz="4" w:space="0"/>
              <w:bottom w:val="single" w:color="000000" w:sz="8"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960" w:hRule="atLeast"/>
        </w:trPr>
        <w:tc>
          <w:tcPr>
            <w:tcW w:w="0" w:type="auto"/>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注：本部门无政府性基金决算收支，此表为空表。</w:t>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本表反映部门本年度政府性基金预算财政拨款收入支出及结转和结余情况。本表金额转换为万元时，因四舍五入可能存在尾差。</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bl>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p>
      <w:pPr>
        <w:pStyle w:val="14"/>
        <w:keepNext w:val="0"/>
        <w:keepLines w:val="0"/>
        <w:widowControl w:val="0"/>
        <w:shd w:val="clear" w:color="auto" w:fill="auto"/>
        <w:bidi w:val="0"/>
        <w:spacing w:before="0" w:after="0" w:line="619" w:lineRule="exact"/>
        <w:ind w:left="0" w:right="0" w:firstLine="0"/>
        <w:jc w:val="center"/>
        <w:rPr>
          <w:color w:val="000000"/>
          <w:spacing w:val="0"/>
          <w:w w:val="100"/>
          <w:position w:val="0"/>
          <w:sz w:val="30"/>
          <w:szCs w:val="30"/>
        </w:rPr>
      </w:pPr>
    </w:p>
    <w:tbl>
      <w:tblPr>
        <w:tblStyle w:val="5"/>
        <w:tblW w:w="0" w:type="auto"/>
        <w:tblInd w:w="93" w:type="dxa"/>
        <w:shd w:val="clear" w:color="auto" w:fill="auto"/>
        <w:tblLayout w:type="autofit"/>
        <w:tblCellMar>
          <w:top w:w="0" w:type="dxa"/>
          <w:left w:w="108" w:type="dxa"/>
          <w:bottom w:w="0" w:type="dxa"/>
          <w:right w:w="108" w:type="dxa"/>
        </w:tblCellMar>
      </w:tblPr>
      <w:tblGrid>
        <w:gridCol w:w="5627"/>
        <w:gridCol w:w="507"/>
        <w:gridCol w:w="580"/>
        <w:gridCol w:w="1141"/>
      </w:tblGrid>
      <w:tr>
        <w:tblPrEx>
          <w:shd w:val="clear" w:color="auto" w:fill="auto"/>
          <w:tblCellMar>
            <w:top w:w="0" w:type="dxa"/>
            <w:left w:w="108" w:type="dxa"/>
            <w:bottom w:w="0" w:type="dxa"/>
            <w:right w:w="108" w:type="dxa"/>
          </w:tblCellMar>
        </w:tblPrEx>
        <w:trPr>
          <w:trHeight w:val="1154" w:hRule="atLeast"/>
        </w:trPr>
        <w:tc>
          <w:tcPr>
            <w:tcW w:w="0" w:type="auto"/>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spacing w:val="0"/>
                <w:w w:val="100"/>
                <w:kern w:val="0"/>
                <w:position w:val="0"/>
                <w:sz w:val="44"/>
                <w:szCs w:val="44"/>
                <w:u w:val="none"/>
                <w:shd w:val="clear" w:color="auto" w:fill="auto"/>
                <w:lang w:val="en-US" w:eastAsia="zh-CN" w:bidi="ar"/>
              </w:rPr>
              <w:t>政府采购情况表</w:t>
            </w:r>
          </w:p>
        </w:tc>
      </w:tr>
      <w:tr>
        <w:tblPrEx>
          <w:tblCellMar>
            <w:top w:w="0" w:type="dxa"/>
            <w:left w:w="108" w:type="dxa"/>
            <w:bottom w:w="0" w:type="dxa"/>
            <w:right w:w="108" w:type="dxa"/>
          </w:tblCellMar>
        </w:tblPrEx>
        <w:trPr>
          <w:trHeight w:val="749"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公开09表</w:t>
            </w:r>
          </w:p>
        </w:tc>
      </w:tr>
      <w:tr>
        <w:tblPrEx>
          <w:tblCellMar>
            <w:top w:w="0" w:type="dxa"/>
            <w:left w:w="108" w:type="dxa"/>
            <w:bottom w:w="0" w:type="dxa"/>
            <w:right w:w="108" w:type="dxa"/>
          </w:tblCellMar>
        </w:tblPrEx>
        <w:trPr>
          <w:trHeight w:val="614" w:hRule="atLeast"/>
        </w:trPr>
        <w:tc>
          <w:tcPr>
            <w:tcW w:w="0" w:type="auto"/>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编制部门：中国共产党西安市莲湖区纪律检查委员会                     2019年</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金额单位：万元</w:t>
            </w:r>
          </w:p>
        </w:tc>
      </w:tr>
      <w:tr>
        <w:tblPrEx>
          <w:tblCellMar>
            <w:top w:w="0" w:type="dxa"/>
            <w:left w:w="108" w:type="dxa"/>
            <w:bottom w:w="0" w:type="dxa"/>
            <w:right w:w="108" w:type="dxa"/>
          </w:tblCellMar>
        </w:tblPrEx>
        <w:trPr>
          <w:trHeight w:val="704" w:hRule="atLeast"/>
        </w:trPr>
        <w:tc>
          <w:tcPr>
            <w:tcW w:w="0" w:type="auto"/>
            <w:vMerge w:val="restart"/>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w:t>
            </w:r>
          </w:p>
        </w:tc>
        <w:tc>
          <w:tcPr>
            <w:tcW w:w="0" w:type="auto"/>
            <w:vMerge w:val="restart"/>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行次</w:t>
            </w:r>
          </w:p>
        </w:tc>
        <w:tc>
          <w:tcPr>
            <w:tcW w:w="0" w:type="auto"/>
            <w:gridSpan w:val="2"/>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采购决算数</w:t>
            </w:r>
          </w:p>
        </w:tc>
      </w:tr>
      <w:tr>
        <w:tblPrEx>
          <w:tblCellMar>
            <w:top w:w="0" w:type="dxa"/>
            <w:left w:w="108" w:type="dxa"/>
            <w:bottom w:w="0" w:type="dxa"/>
            <w:right w:w="108" w:type="dxa"/>
          </w:tblCellMar>
        </w:tblPrEx>
        <w:trPr>
          <w:trHeight w:val="629" w:hRule="atLeast"/>
        </w:trPr>
        <w:tc>
          <w:tcPr>
            <w:tcW w:w="0" w:type="auto"/>
            <w:vMerge w:val="continue"/>
            <w:tcBorders>
              <w:top w:val="single" w:color="000000" w:sz="8" w:space="0"/>
              <w:left w:val="single" w:color="000000" w:sz="8"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8"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总计</w:t>
            </w:r>
          </w:p>
        </w:tc>
        <w:tc>
          <w:tcPr>
            <w:tcW w:w="0" w:type="auto"/>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财政性资金</w:t>
            </w:r>
          </w:p>
        </w:tc>
      </w:tr>
      <w:tr>
        <w:tblPrEx>
          <w:tblCellMar>
            <w:top w:w="0" w:type="dxa"/>
            <w:left w:w="108" w:type="dxa"/>
            <w:bottom w:w="0" w:type="dxa"/>
            <w:right w:w="108" w:type="dxa"/>
          </w:tblCellMar>
        </w:tblPrEx>
        <w:trPr>
          <w:trHeight w:val="449" w:hRule="atLeast"/>
        </w:trPr>
        <w:tc>
          <w:tcPr>
            <w:tcW w:w="0" w:type="auto"/>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w:t>
            </w:r>
            <w:r>
              <w:rPr>
                <w:rStyle w:val="31"/>
                <w:lang w:eastAsia="zh-CN" w:bidi="ar"/>
              </w:rPr>
              <w:t xml:space="preserve">      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27.52</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27.52</w:t>
            </w:r>
          </w:p>
        </w:tc>
      </w:tr>
      <w:tr>
        <w:tblPrEx>
          <w:tblCellMar>
            <w:top w:w="0" w:type="dxa"/>
            <w:left w:w="108" w:type="dxa"/>
            <w:bottom w:w="0" w:type="dxa"/>
            <w:right w:w="108" w:type="dxa"/>
          </w:tblCellMar>
        </w:tblPrEx>
        <w:trPr>
          <w:trHeight w:val="449" w:hRule="atLeast"/>
        </w:trPr>
        <w:tc>
          <w:tcPr>
            <w:tcW w:w="0" w:type="auto"/>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货物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27.52</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27.52</w:t>
            </w:r>
          </w:p>
        </w:tc>
      </w:tr>
      <w:tr>
        <w:tblPrEx>
          <w:tblCellMar>
            <w:top w:w="0" w:type="dxa"/>
            <w:left w:w="108" w:type="dxa"/>
            <w:bottom w:w="0" w:type="dxa"/>
            <w:right w:w="108" w:type="dxa"/>
          </w:tblCellMar>
        </w:tblPrEx>
        <w:trPr>
          <w:trHeight w:val="449" w:hRule="atLeast"/>
        </w:trPr>
        <w:tc>
          <w:tcPr>
            <w:tcW w:w="0" w:type="auto"/>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工程</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0.00 </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0.00 </w:t>
            </w:r>
          </w:p>
        </w:tc>
      </w:tr>
      <w:tr>
        <w:tblPrEx>
          <w:tblCellMar>
            <w:top w:w="0" w:type="dxa"/>
            <w:left w:w="108" w:type="dxa"/>
            <w:bottom w:w="0" w:type="dxa"/>
            <w:right w:w="108" w:type="dxa"/>
          </w:tblCellMar>
        </w:tblPrEx>
        <w:trPr>
          <w:trHeight w:val="449" w:hRule="atLeast"/>
        </w:trPr>
        <w:tc>
          <w:tcPr>
            <w:tcW w:w="0" w:type="auto"/>
            <w:tcBorders>
              <w:top w:val="nil"/>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服务</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0.00 </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0.00 </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55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 xml:space="preserve">中小微企业采购金额 </w:t>
            </w:r>
            <w:r>
              <w:rPr>
                <w:rStyle w:val="32"/>
                <w:rFonts w:eastAsia="宋体"/>
                <w:lang w:eastAsia="zh-CN" w:bidi="ar"/>
              </w:rPr>
              <w:t xml:space="preserve"> 27.52  </w:t>
            </w:r>
            <w:r>
              <w:rPr>
                <w:rStyle w:val="33"/>
                <w:lang w:eastAsia="zh-CN" w:bidi="ar"/>
              </w:rPr>
              <w:t>万元，其中：小微企业采购金额</w:t>
            </w:r>
            <w:r>
              <w:rPr>
                <w:rStyle w:val="32"/>
                <w:rFonts w:eastAsia="宋体"/>
                <w:lang w:eastAsia="zh-CN" w:bidi="ar"/>
              </w:rPr>
              <w:t xml:space="preserve">    27.52  </w:t>
            </w:r>
            <w:r>
              <w:rPr>
                <w:rStyle w:val="33"/>
                <w:lang w:eastAsia="zh-CN" w:bidi="ar"/>
              </w:rPr>
              <w:t>万元。</w:t>
            </w:r>
          </w:p>
        </w:tc>
        <w:tc>
          <w:tcPr>
            <w:tcW w:w="0" w:type="auto"/>
            <w:tcBorders>
              <w:top w:val="nil"/>
              <w:left w:val="nil"/>
              <w:bottom w:val="nil"/>
              <w:right w:val="nil"/>
            </w:tcBorders>
            <w:shd w:val="clear" w:color="auto" w:fill="auto"/>
            <w:noWrap/>
            <w:vAlign w:val="bottom"/>
          </w:tcPr>
          <w:p>
            <w:pPr>
              <w:rPr>
                <w:rFonts w:hint="eastAsia" w:ascii="宋体" w:hAnsi="宋体" w:eastAsia="宋体" w:cs="宋体"/>
                <w:b/>
                <w:bCs/>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b/>
                <w:bCs/>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b/>
                <w:bCs/>
                <w:i w:val="0"/>
                <w:iCs w:val="0"/>
                <w:color w:val="000000"/>
                <w:sz w:val="24"/>
                <w:szCs w:val="24"/>
                <w:u w:val="none"/>
              </w:rPr>
            </w:pPr>
          </w:p>
        </w:tc>
      </w:tr>
    </w:tbl>
    <w:p>
      <w:pPr>
        <w:pStyle w:val="14"/>
        <w:keepNext w:val="0"/>
        <w:keepLines w:val="0"/>
        <w:widowControl w:val="0"/>
        <w:shd w:val="clear" w:color="auto" w:fill="auto"/>
        <w:bidi w:val="0"/>
        <w:spacing w:before="0" w:after="0" w:line="619" w:lineRule="exact"/>
        <w:ind w:left="0" w:right="0" w:firstLine="0"/>
        <w:jc w:val="both"/>
        <w:rPr>
          <w:color w:val="000000"/>
          <w:spacing w:val="0"/>
          <w:w w:val="100"/>
          <w:position w:val="0"/>
          <w:sz w:val="30"/>
          <w:szCs w:val="30"/>
        </w:rPr>
      </w:pP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bookmarkStart w:id="42" w:name="bookmark67"/>
      <w:bookmarkStart w:id="43" w:name="bookmark68"/>
      <w:bookmarkStart w:id="44" w:name="bookmark69"/>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p>
    <w:p>
      <w:pPr>
        <w:pStyle w:val="12"/>
        <w:keepNext/>
        <w:keepLines/>
        <w:widowControl w:val="0"/>
        <w:shd w:val="clear" w:color="auto" w:fill="auto"/>
        <w:bidi w:val="0"/>
        <w:spacing w:before="0" w:after="520" w:line="240" w:lineRule="auto"/>
        <w:ind w:left="0" w:right="0" w:firstLine="0"/>
        <w:jc w:val="center"/>
      </w:pPr>
      <w:r>
        <w:rPr>
          <w:color w:val="000000"/>
          <w:spacing w:val="0"/>
          <w:w w:val="100"/>
          <w:position w:val="0"/>
        </w:rPr>
        <w:t>第三部分</w:t>
      </w:r>
      <w:r>
        <w:rPr>
          <w:rFonts w:ascii="Times New Roman" w:hAnsi="Times New Roman" w:eastAsia="Times New Roman" w:cs="Times New Roman"/>
          <w:color w:val="000000"/>
          <w:spacing w:val="0"/>
          <w:w w:val="100"/>
          <w:position w:val="0"/>
          <w:sz w:val="48"/>
          <w:szCs w:val="48"/>
        </w:rPr>
        <w:t>2019</w:t>
      </w:r>
      <w:r>
        <w:rPr>
          <w:color w:val="000000"/>
          <w:spacing w:val="0"/>
          <w:w w:val="100"/>
          <w:position w:val="0"/>
        </w:rPr>
        <w:t>年度部门决算情况说明</w:t>
      </w:r>
      <w:bookmarkEnd w:id="42"/>
      <w:bookmarkEnd w:id="43"/>
      <w:bookmarkEnd w:id="44"/>
    </w:p>
    <w:p>
      <w:pPr>
        <w:pStyle w:val="14"/>
        <w:keepNext w:val="0"/>
        <w:keepLines w:val="0"/>
        <w:widowControl w:val="0"/>
        <w:shd w:val="clear" w:color="auto" w:fill="auto"/>
        <w:tabs>
          <w:tab w:val="left" w:pos="1277"/>
        </w:tabs>
        <w:bidi w:val="0"/>
        <w:spacing w:before="0" w:after="0" w:line="637" w:lineRule="exact"/>
        <w:ind w:left="0" w:right="0" w:firstLine="640"/>
        <w:jc w:val="left"/>
        <w:rPr>
          <w:sz w:val="30"/>
          <w:szCs w:val="30"/>
        </w:rPr>
      </w:pPr>
      <w:bookmarkStart w:id="45" w:name="bookmark70"/>
      <w:r>
        <w:rPr>
          <w:color w:val="000000"/>
          <w:spacing w:val="0"/>
          <w:w w:val="100"/>
          <w:position w:val="0"/>
          <w:sz w:val="30"/>
          <w:szCs w:val="30"/>
        </w:rPr>
        <w:t>一</w:t>
      </w:r>
      <w:bookmarkEnd w:id="45"/>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收入支出决算总体情况说明</w:t>
      </w:r>
    </w:p>
    <w:p>
      <w:pPr>
        <w:pStyle w:val="4"/>
        <w:spacing w:line="560" w:lineRule="exact"/>
        <w:ind w:firstLine="640" w:firstLineChars="200"/>
        <w:rPr>
          <w:rFonts w:hint="eastAsia" w:ascii="仿宋_GB2312" w:eastAsia="仿宋_GB2312"/>
          <w:color w:val="000000"/>
          <w:sz w:val="32"/>
          <w:szCs w:val="32"/>
        </w:rPr>
      </w:pPr>
      <w:bookmarkStart w:id="46" w:name="bookmark71"/>
      <w:r>
        <w:rPr>
          <w:rFonts w:hint="eastAsia" w:ascii="仿宋_GB2312" w:eastAsia="仿宋_GB2312"/>
          <w:color w:val="000000"/>
          <w:sz w:val="32"/>
          <w:szCs w:val="32"/>
        </w:rPr>
        <w:t>1、2019年度收入总计</w:t>
      </w:r>
      <w:r>
        <w:rPr>
          <w:rFonts w:hint="eastAsia" w:ascii="仿宋_GB2312" w:eastAsia="仿宋_GB2312"/>
          <w:color w:val="000000"/>
          <w:sz w:val="32"/>
          <w:szCs w:val="32"/>
          <w:lang w:val="en-US" w:eastAsia="zh-CN"/>
        </w:rPr>
        <w:t>1362.85</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439.21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47.55</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纪检监察体制改革，人员增加</w:t>
      </w:r>
      <w:r>
        <w:rPr>
          <w:rFonts w:hint="eastAsia" w:ascii="仿宋_GB2312" w:eastAsia="仿宋_GB2312"/>
          <w:color w:val="000000"/>
          <w:sz w:val="32"/>
          <w:szCs w:val="32"/>
        </w:rPr>
        <w:t>。</w:t>
      </w:r>
    </w:p>
    <w:p>
      <w:pPr>
        <w:pStyle w:val="4"/>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2、2019年度支出总计</w:t>
      </w:r>
      <w:r>
        <w:rPr>
          <w:rFonts w:hint="eastAsia" w:ascii="仿宋_GB2312" w:eastAsia="仿宋_GB2312"/>
          <w:color w:val="000000"/>
          <w:sz w:val="32"/>
          <w:szCs w:val="32"/>
          <w:lang w:val="en-US" w:eastAsia="zh-CN"/>
        </w:rPr>
        <w:t>1362.85</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439.21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47.55</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纪检监察体制改革，人员增加</w:t>
      </w:r>
      <w:r>
        <w:rPr>
          <w:rFonts w:hint="eastAsia" w:ascii="仿宋_GB2312" w:eastAsia="仿宋_GB2312"/>
          <w:color w:val="000000"/>
          <w:sz w:val="32"/>
          <w:szCs w:val="32"/>
        </w:rPr>
        <w:t>。</w:t>
      </w:r>
    </w:p>
    <w:p>
      <w:pPr>
        <w:bidi w:val="0"/>
        <w:ind w:firstLine="480" w:firstLineChars="200"/>
        <w:rPr>
          <w:rFonts w:hint="eastAsia" w:eastAsia="微软雅黑"/>
          <w:lang w:eastAsia="zh-CN"/>
        </w:rPr>
      </w:pPr>
      <w:r>
        <w:rPr>
          <w:rFonts w:hint="eastAsia" w:eastAsia="微软雅黑"/>
          <w:lang w:eastAsia="zh-CN"/>
        </w:rPr>
        <w:object>
          <v:shape id="_x0000_i1025" o:spt="75" type="#_x0000_t75" style="height:252.25pt;width:305.6pt;" o:ole="t" filled="f" o:preferrelative="t" stroked="f" coordsize="21600,21600">
            <v:path/>
            <v:fill on="f" focussize="0,0"/>
            <v:stroke on="f"/>
            <v:imagedata r:id="rId13" o:title=""/>
            <o:lock v:ext="edit" aspectratio="t"/>
            <w10:wrap type="none"/>
            <w10:anchorlock/>
          </v:shape>
          <o:OLEObject Type="Embed" ProgID="Excel.Chart.8" ShapeID="_x0000_i1025" DrawAspect="Content" ObjectID="_1468075726" r:id="rId12">
            <o:LockedField>false</o:LockedField>
          </o:OLEObject>
        </w:object>
      </w:r>
    </w:p>
    <w:p>
      <w:pPr>
        <w:pStyle w:val="14"/>
        <w:keepNext w:val="0"/>
        <w:keepLines w:val="0"/>
        <w:widowControl w:val="0"/>
        <w:shd w:val="clear" w:color="auto" w:fill="auto"/>
        <w:tabs>
          <w:tab w:val="left" w:pos="1277"/>
        </w:tabs>
        <w:bidi w:val="0"/>
        <w:spacing w:before="0" w:after="0" w:line="637" w:lineRule="exact"/>
        <w:ind w:left="0" w:right="0" w:firstLine="640"/>
        <w:jc w:val="left"/>
        <w:rPr>
          <w:sz w:val="30"/>
          <w:szCs w:val="30"/>
        </w:rPr>
      </w:pPr>
      <w:r>
        <w:rPr>
          <w:color w:val="000000"/>
          <w:spacing w:val="0"/>
          <w:w w:val="100"/>
          <w:position w:val="0"/>
          <w:sz w:val="30"/>
          <w:szCs w:val="30"/>
        </w:rPr>
        <w:t>二</w:t>
      </w:r>
      <w:bookmarkEnd w:id="46"/>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收入决算情况说明</w:t>
      </w:r>
    </w:p>
    <w:p>
      <w:pPr>
        <w:pStyle w:val="4"/>
        <w:shd w:val="clear" w:color="auto" w:fill="FFFFFF"/>
        <w:spacing w:line="560" w:lineRule="exact"/>
        <w:ind w:firstLine="640" w:firstLineChars="200"/>
        <w:rPr>
          <w:rFonts w:hint="eastAsia" w:ascii="仿宋_GB2312" w:eastAsia="仿宋_GB2312"/>
          <w:color w:val="000000"/>
          <w:sz w:val="32"/>
          <w:szCs w:val="32"/>
        </w:rPr>
      </w:pPr>
      <w:bookmarkStart w:id="47" w:name="bookmark72"/>
      <w:r>
        <w:rPr>
          <w:rFonts w:hint="eastAsia" w:ascii="仿宋_GB2312" w:eastAsia="仿宋_GB2312"/>
          <w:color w:val="000000"/>
          <w:sz w:val="32"/>
          <w:szCs w:val="32"/>
        </w:rPr>
        <w:t>2019年度收入总计</w:t>
      </w:r>
      <w:r>
        <w:rPr>
          <w:rFonts w:hint="eastAsia" w:ascii="仿宋_GB2312" w:eastAsia="仿宋_GB2312"/>
          <w:color w:val="000000"/>
          <w:sz w:val="32"/>
          <w:szCs w:val="32"/>
          <w:lang w:val="en-US" w:eastAsia="zh-CN"/>
        </w:rPr>
        <w:t>1362.85</w:t>
      </w:r>
      <w:r>
        <w:rPr>
          <w:rFonts w:hint="eastAsia" w:ascii="仿宋_GB2312" w:eastAsia="仿宋_GB2312"/>
          <w:color w:val="000000"/>
          <w:sz w:val="32"/>
          <w:szCs w:val="32"/>
        </w:rPr>
        <w:t>万元。其中:</w:t>
      </w:r>
    </w:p>
    <w:p>
      <w:pPr>
        <w:pStyle w:val="4"/>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（1）财政拨款收入</w:t>
      </w:r>
      <w:r>
        <w:rPr>
          <w:rFonts w:hint="eastAsia" w:ascii="仿宋_GB2312" w:eastAsia="仿宋_GB2312"/>
          <w:color w:val="000000"/>
          <w:sz w:val="32"/>
          <w:szCs w:val="32"/>
          <w:lang w:val="en-US" w:eastAsia="zh-CN"/>
        </w:rPr>
        <w:t>1300.54</w:t>
      </w:r>
      <w:r>
        <w:rPr>
          <w:rFonts w:hint="eastAsia" w:ascii="仿宋_GB2312" w:eastAsia="仿宋_GB2312"/>
          <w:color w:val="000000"/>
          <w:sz w:val="32"/>
          <w:szCs w:val="32"/>
        </w:rPr>
        <w:t>万元，占总收入的</w:t>
      </w:r>
      <w:r>
        <w:rPr>
          <w:rFonts w:hint="eastAsia" w:ascii="仿宋_GB2312" w:eastAsia="仿宋_GB2312"/>
          <w:color w:val="000000"/>
          <w:sz w:val="32"/>
          <w:szCs w:val="32"/>
          <w:lang w:val="en-US" w:eastAsia="zh-CN"/>
        </w:rPr>
        <w:t>95.43</w:t>
      </w:r>
      <w:r>
        <w:rPr>
          <w:rFonts w:hint="eastAsia" w:ascii="仿宋_GB2312" w:eastAsia="仿宋_GB2312"/>
          <w:color w:val="000000"/>
          <w:sz w:val="32"/>
          <w:szCs w:val="32"/>
        </w:rPr>
        <w:t>%，较上年增加</w:t>
      </w:r>
      <w:r>
        <w:rPr>
          <w:rFonts w:hint="eastAsia" w:ascii="仿宋_GB2312" w:eastAsia="仿宋_GB2312"/>
          <w:color w:val="000000"/>
          <w:sz w:val="32"/>
          <w:szCs w:val="32"/>
          <w:lang w:val="en-US" w:eastAsia="zh-CN"/>
        </w:rPr>
        <w:t>424.57</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48.47</w:t>
      </w:r>
      <w:r>
        <w:rPr>
          <w:rFonts w:hint="eastAsia" w:ascii="仿宋_GB2312" w:eastAsia="仿宋_GB2312"/>
          <w:color w:val="000000"/>
          <w:sz w:val="32"/>
          <w:szCs w:val="32"/>
        </w:rPr>
        <w:t>%,包括：一般公共预算财政拨款</w:t>
      </w:r>
      <w:r>
        <w:rPr>
          <w:rFonts w:hint="eastAsia" w:ascii="仿宋_GB2312" w:eastAsia="仿宋_GB2312"/>
          <w:color w:val="000000"/>
          <w:sz w:val="32"/>
          <w:szCs w:val="32"/>
          <w:lang w:val="en-US" w:eastAsia="zh-CN"/>
        </w:rPr>
        <w:t>1300.54</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424.57</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48.47</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纪检监察体制改革，人员增加</w:t>
      </w:r>
      <w:r>
        <w:rPr>
          <w:rFonts w:hint="eastAsia" w:ascii="仿宋_GB2312" w:eastAsia="仿宋_GB2312"/>
          <w:color w:val="000000"/>
          <w:sz w:val="32"/>
          <w:szCs w:val="32"/>
        </w:rPr>
        <w:t>；政府性基金预算财政拨款</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万元，较上年增加(减少)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万元，增长（下降）</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w:t>
      </w:r>
    </w:p>
    <w:p>
      <w:pPr>
        <w:pStyle w:val="4"/>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（2）事业收入</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万元，占总收入的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%，是事业单位开展专业业务活动及其辅助活动取得的收入，较上年增加(减少)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万元，增长（下降）</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w:t>
      </w:r>
    </w:p>
    <w:p>
      <w:pPr>
        <w:pStyle w:val="4"/>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（3）其他收入</w:t>
      </w:r>
      <w:r>
        <w:rPr>
          <w:rFonts w:hint="eastAsia" w:ascii="仿宋_GB2312" w:eastAsia="仿宋_GB2312"/>
          <w:color w:val="000000"/>
          <w:sz w:val="32"/>
          <w:szCs w:val="32"/>
          <w:lang w:val="en-US" w:eastAsia="zh-CN"/>
        </w:rPr>
        <w:t>10.21</w:t>
      </w:r>
      <w:r>
        <w:rPr>
          <w:rFonts w:hint="eastAsia" w:ascii="仿宋_GB2312" w:eastAsia="仿宋_GB2312"/>
          <w:color w:val="000000"/>
          <w:sz w:val="32"/>
          <w:szCs w:val="32"/>
        </w:rPr>
        <w:t>万元，占总收入的</w:t>
      </w:r>
      <w:r>
        <w:rPr>
          <w:rFonts w:hint="eastAsia" w:ascii="仿宋_GB2312" w:eastAsia="仿宋_GB2312"/>
          <w:color w:val="000000"/>
          <w:sz w:val="32"/>
          <w:szCs w:val="32"/>
          <w:lang w:val="en-US" w:eastAsia="zh-CN"/>
        </w:rPr>
        <w:t>0.75</w:t>
      </w:r>
      <w:r>
        <w:rPr>
          <w:rFonts w:hint="eastAsia" w:ascii="仿宋_GB2312" w:eastAsia="仿宋_GB2312"/>
          <w:color w:val="000000"/>
          <w:sz w:val="32"/>
          <w:szCs w:val="32"/>
        </w:rPr>
        <w:t>%，是取得的除财政拨款收入等以外的各项收入，占总收入的</w:t>
      </w:r>
      <w:r>
        <w:rPr>
          <w:rFonts w:hint="eastAsia" w:ascii="仿宋_GB2312" w:eastAsia="仿宋_GB2312"/>
          <w:color w:val="000000"/>
          <w:sz w:val="32"/>
          <w:szCs w:val="32"/>
          <w:lang w:val="en-US" w:eastAsia="zh-CN"/>
        </w:rPr>
        <w:t>0.75</w:t>
      </w:r>
      <w:r>
        <w:rPr>
          <w:rFonts w:hint="eastAsia" w:ascii="仿宋_GB2312" w:eastAsia="仿宋_GB2312"/>
          <w:color w:val="000000"/>
          <w:sz w:val="32"/>
          <w:szCs w:val="32"/>
        </w:rPr>
        <w:t>%，主要是</w:t>
      </w:r>
      <w:r>
        <w:rPr>
          <w:rFonts w:hint="eastAsia" w:ascii="仿宋_GB2312" w:eastAsia="仿宋_GB2312"/>
          <w:color w:val="000000"/>
          <w:sz w:val="32"/>
          <w:szCs w:val="32"/>
          <w:lang w:eastAsia="zh-CN"/>
        </w:rPr>
        <w:t>其他单位间转款收入</w:t>
      </w:r>
      <w:r>
        <w:rPr>
          <w:rFonts w:hint="eastAsia" w:ascii="仿宋_GB2312" w:eastAsia="仿宋_GB2312"/>
          <w:color w:val="000000"/>
          <w:sz w:val="32"/>
          <w:szCs w:val="32"/>
          <w:lang w:val="en-US" w:eastAsia="zh-CN"/>
        </w:rPr>
        <w:t>10.21万元</w:t>
      </w:r>
      <w:r>
        <w:rPr>
          <w:rFonts w:hint="eastAsia" w:ascii="仿宋_GB2312" w:eastAsia="仿宋_GB2312"/>
          <w:color w:val="000000"/>
          <w:sz w:val="32"/>
          <w:szCs w:val="32"/>
        </w:rPr>
        <w:t>，较上年减少</w:t>
      </w:r>
      <w:r>
        <w:rPr>
          <w:rFonts w:hint="eastAsia" w:ascii="仿宋_GB2312" w:eastAsia="仿宋_GB2312"/>
          <w:color w:val="000000"/>
          <w:sz w:val="32"/>
          <w:szCs w:val="32"/>
          <w:lang w:val="en-US" w:eastAsia="zh-CN"/>
        </w:rPr>
        <w:t>3.47</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25.37</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单位间转款减少</w:t>
      </w:r>
      <w:r>
        <w:rPr>
          <w:rFonts w:hint="eastAsia" w:ascii="仿宋_GB2312" w:eastAsia="仿宋_GB2312"/>
          <w:color w:val="000000"/>
          <w:sz w:val="32"/>
          <w:szCs w:val="32"/>
        </w:rPr>
        <w:t>。</w:t>
      </w:r>
    </w:p>
    <w:p>
      <w:pPr>
        <w:pStyle w:val="4"/>
        <w:shd w:val="clear" w:color="auto" w:fill="FFFFFF"/>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（4）用事业基金弥补收支差额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p>
    <w:p>
      <w:pPr>
        <w:pStyle w:val="4"/>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（5）上年结转结余</w:t>
      </w:r>
      <w:r>
        <w:rPr>
          <w:rFonts w:hint="eastAsia" w:ascii="仿宋_GB2312" w:eastAsia="仿宋_GB2312"/>
          <w:color w:val="000000"/>
          <w:sz w:val="32"/>
          <w:szCs w:val="32"/>
          <w:lang w:val="en-US" w:eastAsia="zh-CN"/>
        </w:rPr>
        <w:t>52.1</w:t>
      </w:r>
      <w:r>
        <w:rPr>
          <w:rFonts w:hint="eastAsia" w:ascii="仿宋_GB2312" w:eastAsia="仿宋_GB2312"/>
          <w:color w:val="000000"/>
          <w:sz w:val="32"/>
          <w:szCs w:val="32"/>
        </w:rPr>
        <w:t>万元, 为以前年度尚未列支，结转到本年仍按规定用途继续使用的资金。</w:t>
      </w:r>
    </w:p>
    <w:p>
      <w:pPr>
        <w:pStyle w:val="14"/>
        <w:keepNext w:val="0"/>
        <w:keepLines w:val="0"/>
        <w:widowControl w:val="0"/>
        <w:shd w:val="clear" w:color="auto" w:fill="auto"/>
        <w:tabs>
          <w:tab w:val="left" w:pos="1277"/>
        </w:tabs>
        <w:bidi w:val="0"/>
        <w:spacing w:before="0" w:after="0" w:line="637" w:lineRule="exact"/>
        <w:ind w:left="0" w:right="0" w:firstLine="640"/>
        <w:jc w:val="left"/>
        <w:rPr>
          <w:rFonts w:hint="eastAsia" w:eastAsia="微软雅黑"/>
          <w:lang w:eastAsia="zh-CN"/>
        </w:rPr>
      </w:pPr>
      <w:r>
        <w:rPr>
          <w:rFonts w:hint="eastAsia" w:eastAsia="微软雅黑"/>
          <w:lang w:eastAsia="zh-CN"/>
        </w:rPr>
        <w:pict>
          <v:shape id="_x0000_s1027" o:spid="_x0000_s1027" o:spt="75" type="#_x0000_t75" style="position:absolute;left:0pt;margin-left:45.15pt;margin-top:2.5pt;height:254.85pt;width:358.2pt;mso-wrap-distance-bottom:0pt;mso-wrap-distance-top:0pt;z-index:251660288;mso-width-relative:page;mso-height-relative:page;" o:ole="t" filled="f" o:preferrelative="t" stroked="f" coordsize="21600,21600">
            <v:path/>
            <v:fill on="f" focussize="0,0"/>
            <v:stroke on="f"/>
            <v:imagedata r:id="rId15" o:title=""/>
            <o:lock v:ext="edit" aspectratio="t"/>
            <w10:wrap type="topAndBottom"/>
          </v:shape>
          <o:OLEObject Type="Embed" ProgID="Excel.Chart.8" ShapeID="_x0000_s1027" DrawAspect="Content" ObjectID="_1468075727" r:id="rId14">
            <o:LockedField>false</o:LockedField>
          </o:OLEObject>
        </w:pict>
      </w:r>
    </w:p>
    <w:p>
      <w:pPr>
        <w:pStyle w:val="14"/>
        <w:keepNext w:val="0"/>
        <w:keepLines w:val="0"/>
        <w:widowControl w:val="0"/>
        <w:shd w:val="clear" w:color="auto" w:fill="auto"/>
        <w:tabs>
          <w:tab w:val="left" w:pos="1277"/>
        </w:tabs>
        <w:bidi w:val="0"/>
        <w:spacing w:before="0" w:after="0" w:line="637" w:lineRule="exact"/>
        <w:ind w:left="0" w:leftChars="0" w:right="0" w:firstLine="0" w:firstLineChars="0"/>
        <w:jc w:val="left"/>
        <w:rPr>
          <w:rFonts w:hint="eastAsia" w:eastAsia="微软雅黑"/>
          <w:lang w:eastAsia="zh-CN"/>
        </w:rPr>
      </w:pPr>
    </w:p>
    <w:p>
      <w:pPr>
        <w:pStyle w:val="14"/>
        <w:keepNext w:val="0"/>
        <w:keepLines w:val="0"/>
        <w:widowControl w:val="0"/>
        <w:shd w:val="clear" w:color="auto" w:fill="auto"/>
        <w:tabs>
          <w:tab w:val="left" w:pos="1277"/>
        </w:tabs>
        <w:bidi w:val="0"/>
        <w:spacing w:before="0" w:after="0" w:line="637" w:lineRule="exact"/>
        <w:ind w:right="0" w:firstLine="798" w:firstLineChars="266"/>
        <w:jc w:val="left"/>
        <w:rPr>
          <w:sz w:val="30"/>
          <w:szCs w:val="30"/>
        </w:rPr>
      </w:pPr>
      <w:r>
        <w:rPr>
          <w:color w:val="000000"/>
          <w:spacing w:val="0"/>
          <w:w w:val="100"/>
          <w:position w:val="0"/>
          <w:sz w:val="30"/>
          <w:szCs w:val="30"/>
        </w:rPr>
        <w:t>三</w:t>
      </w:r>
      <w:bookmarkEnd w:id="47"/>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支出决算情况说明</w:t>
      </w:r>
    </w:p>
    <w:p>
      <w:pPr>
        <w:pStyle w:val="4"/>
        <w:spacing w:line="560" w:lineRule="exact"/>
        <w:ind w:firstLine="640" w:firstLineChars="200"/>
        <w:rPr>
          <w:rFonts w:hint="eastAsia" w:ascii="仿宋_GB2312" w:eastAsia="仿宋_GB2312"/>
          <w:color w:val="000000"/>
          <w:sz w:val="32"/>
          <w:szCs w:val="32"/>
        </w:rPr>
      </w:pPr>
      <w:bookmarkStart w:id="48" w:name="bookmark73"/>
      <w:r>
        <w:rPr>
          <w:rFonts w:hint="eastAsia" w:ascii="仿宋_GB2312" w:eastAsia="仿宋_GB2312"/>
          <w:color w:val="000000"/>
          <w:sz w:val="32"/>
          <w:szCs w:val="32"/>
        </w:rPr>
        <w:t>2019年本年支出合计</w:t>
      </w:r>
      <w:r>
        <w:rPr>
          <w:rFonts w:hint="eastAsia" w:ascii="仿宋_GB2312" w:eastAsia="仿宋_GB2312"/>
          <w:color w:val="000000"/>
          <w:sz w:val="32"/>
          <w:szCs w:val="32"/>
          <w:lang w:val="en-US" w:eastAsia="zh-CN"/>
        </w:rPr>
        <w:t>1362.55</w:t>
      </w:r>
      <w:r>
        <w:rPr>
          <w:rFonts w:hint="eastAsia" w:ascii="仿宋_GB2312" w:eastAsia="仿宋_GB2312"/>
          <w:color w:val="000000"/>
          <w:sz w:val="32"/>
          <w:szCs w:val="32"/>
        </w:rPr>
        <w:t>万元。其中:</w:t>
      </w:r>
    </w:p>
    <w:p>
      <w:pPr>
        <w:pStyle w:val="4"/>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（1）基本支出</w:t>
      </w:r>
      <w:r>
        <w:rPr>
          <w:rFonts w:hint="eastAsia" w:ascii="仿宋_GB2312" w:eastAsia="仿宋_GB2312"/>
          <w:color w:val="000000"/>
          <w:sz w:val="32"/>
          <w:szCs w:val="32"/>
          <w:lang w:val="en-US" w:eastAsia="zh-CN"/>
        </w:rPr>
        <w:t>1178.95</w:t>
      </w:r>
      <w:r>
        <w:rPr>
          <w:rFonts w:hint="eastAsia" w:ascii="仿宋_GB2312" w:eastAsia="仿宋_GB2312"/>
          <w:color w:val="000000"/>
          <w:sz w:val="32"/>
          <w:szCs w:val="32"/>
        </w:rPr>
        <w:t>万元，占总支出的</w:t>
      </w:r>
      <w:r>
        <w:rPr>
          <w:rFonts w:hint="eastAsia" w:ascii="仿宋_GB2312" w:eastAsia="仿宋_GB2312"/>
          <w:color w:val="000000"/>
          <w:sz w:val="32"/>
          <w:szCs w:val="32"/>
          <w:lang w:val="en-US" w:eastAsia="zh-CN"/>
        </w:rPr>
        <w:t>86.53</w:t>
      </w:r>
      <w:r>
        <w:rPr>
          <w:rFonts w:hint="eastAsia" w:ascii="仿宋_GB2312" w:eastAsia="仿宋_GB2312"/>
          <w:color w:val="000000"/>
          <w:sz w:val="32"/>
          <w:szCs w:val="32"/>
        </w:rPr>
        <w:t>%，是为保障机构正常运转、完成日常工作任务而发生的各项支出，包括人员经费</w:t>
      </w:r>
      <w:r>
        <w:rPr>
          <w:rFonts w:hint="eastAsia" w:ascii="仿宋_GB2312" w:eastAsia="仿宋_GB2312"/>
          <w:color w:val="000000"/>
          <w:sz w:val="32"/>
          <w:szCs w:val="32"/>
          <w:lang w:val="en-US" w:eastAsia="zh-CN"/>
        </w:rPr>
        <w:t>1028.48</w:t>
      </w:r>
      <w:r>
        <w:rPr>
          <w:rFonts w:hint="eastAsia" w:ascii="仿宋_GB2312" w:eastAsia="仿宋_GB2312"/>
          <w:color w:val="000000"/>
          <w:sz w:val="32"/>
          <w:szCs w:val="32"/>
        </w:rPr>
        <w:t>万元和公用经费</w:t>
      </w:r>
      <w:r>
        <w:rPr>
          <w:rFonts w:hint="eastAsia" w:ascii="仿宋_GB2312" w:eastAsia="仿宋_GB2312"/>
          <w:color w:val="000000"/>
          <w:sz w:val="32"/>
          <w:szCs w:val="32"/>
          <w:lang w:val="en-US" w:eastAsia="zh-CN"/>
        </w:rPr>
        <w:t>150.47</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426.79</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56.74</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纪检监察体制改革，办公经费增加</w:t>
      </w:r>
      <w:r>
        <w:rPr>
          <w:rFonts w:hint="eastAsia" w:ascii="仿宋_GB2312" w:eastAsia="仿宋_GB2312"/>
          <w:color w:val="000000"/>
          <w:sz w:val="32"/>
          <w:szCs w:val="32"/>
        </w:rPr>
        <w:t>。</w:t>
      </w:r>
    </w:p>
    <w:p>
      <w:pPr>
        <w:pStyle w:val="4"/>
        <w:spacing w:line="560" w:lineRule="exact"/>
        <w:ind w:firstLine="643" w:firstLineChars="200"/>
        <w:rPr>
          <w:rFonts w:hint="eastAsia" w:ascii="仿宋_GB2312" w:eastAsia="仿宋_GB2312"/>
          <w:color w:val="000000"/>
          <w:sz w:val="32"/>
          <w:szCs w:val="32"/>
        </w:rPr>
      </w:pPr>
      <w:r>
        <w:rPr>
          <w:rFonts w:hint="eastAsia" w:ascii="仿宋_GB2312" w:eastAsia="仿宋_GB2312"/>
          <w:b/>
          <w:bCs/>
          <w:color w:val="000000"/>
          <w:sz w:val="32"/>
          <w:szCs w:val="32"/>
        </w:rPr>
        <w:t>（</w:t>
      </w:r>
      <w:r>
        <w:rPr>
          <w:rFonts w:hint="eastAsia" w:ascii="仿宋_GB2312" w:eastAsia="仿宋_GB2312"/>
          <w:color w:val="000000"/>
          <w:sz w:val="32"/>
          <w:szCs w:val="32"/>
        </w:rPr>
        <w:t>2）项目支出</w:t>
      </w:r>
      <w:r>
        <w:rPr>
          <w:rFonts w:hint="eastAsia" w:ascii="仿宋_GB2312" w:eastAsia="仿宋_GB2312"/>
          <w:color w:val="000000"/>
          <w:sz w:val="32"/>
          <w:szCs w:val="32"/>
          <w:lang w:val="en-US" w:eastAsia="zh-CN"/>
        </w:rPr>
        <w:t>183.6</w:t>
      </w:r>
      <w:r>
        <w:rPr>
          <w:rFonts w:hint="eastAsia" w:ascii="仿宋_GB2312" w:eastAsia="仿宋_GB2312"/>
          <w:color w:val="000000"/>
          <w:sz w:val="32"/>
          <w:szCs w:val="32"/>
        </w:rPr>
        <w:t>万元，占总支出的</w:t>
      </w:r>
      <w:r>
        <w:rPr>
          <w:rFonts w:hint="eastAsia" w:ascii="仿宋_GB2312" w:eastAsia="仿宋_GB2312"/>
          <w:color w:val="000000"/>
          <w:sz w:val="32"/>
          <w:szCs w:val="32"/>
          <w:lang w:val="en-US" w:eastAsia="zh-CN"/>
        </w:rPr>
        <w:t>13.47</w:t>
      </w:r>
      <w:r>
        <w:rPr>
          <w:rFonts w:hint="eastAsia" w:ascii="仿宋_GB2312" w:eastAsia="仿宋_GB2312"/>
          <w:color w:val="000000"/>
          <w:sz w:val="32"/>
          <w:szCs w:val="32"/>
        </w:rPr>
        <w:t>%，是为完成特定的工作任务或事业发展目标，在基本支出之外发生的支出，较上年增加</w:t>
      </w:r>
      <w:r>
        <w:rPr>
          <w:rFonts w:hint="eastAsia" w:ascii="仿宋_GB2312" w:eastAsia="仿宋_GB2312"/>
          <w:color w:val="000000"/>
          <w:sz w:val="32"/>
          <w:szCs w:val="32"/>
          <w:lang w:val="en-US" w:eastAsia="zh-CN"/>
        </w:rPr>
        <w:t>67.32</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57.89</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纪检监察体制改革，业务量增加</w:t>
      </w:r>
      <w:r>
        <w:rPr>
          <w:rFonts w:hint="eastAsia" w:ascii="仿宋_GB2312" w:eastAsia="仿宋_GB2312"/>
          <w:color w:val="000000"/>
          <w:sz w:val="32"/>
          <w:szCs w:val="32"/>
        </w:rPr>
        <w:t>。主要包括</w:t>
      </w:r>
      <w:r>
        <w:rPr>
          <w:rFonts w:hint="eastAsia" w:ascii="仿宋_GB2312" w:eastAsia="仿宋_GB2312"/>
          <w:color w:val="000000"/>
          <w:sz w:val="32"/>
          <w:szCs w:val="32"/>
          <w:lang w:eastAsia="zh-CN"/>
        </w:rPr>
        <w:t>案件查处专项经费</w:t>
      </w:r>
      <w:r>
        <w:rPr>
          <w:rFonts w:hint="eastAsia" w:ascii="仿宋_GB2312" w:eastAsia="仿宋_GB2312"/>
          <w:color w:val="000000"/>
          <w:sz w:val="32"/>
          <w:szCs w:val="32"/>
          <w:lang w:val="en-US" w:eastAsia="zh-CN"/>
        </w:rPr>
        <w:t>31</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纪检监察工作经费</w:t>
      </w:r>
      <w:r>
        <w:rPr>
          <w:rFonts w:hint="eastAsia" w:ascii="仿宋_GB2312" w:eastAsia="仿宋_GB2312"/>
          <w:color w:val="000000"/>
          <w:sz w:val="32"/>
          <w:szCs w:val="32"/>
          <w:lang w:val="en-US" w:eastAsia="zh-CN"/>
        </w:rPr>
        <w:t>25万元，巡察工作经费24.47万元，专项治理工作经费19.98万元，区纪委全会及其他业务会等会议及培训费6.06万元，宣传教育培训工作经费10万元，信息化网络平台建设及维护费2.08万元，专项业务费65万元</w:t>
      </w:r>
      <w:r>
        <w:rPr>
          <w:rFonts w:hint="eastAsia" w:ascii="仿宋_GB2312" w:eastAsia="仿宋_GB2312"/>
          <w:color w:val="000000"/>
          <w:sz w:val="32"/>
          <w:szCs w:val="32"/>
        </w:rPr>
        <w:t>。</w:t>
      </w:r>
    </w:p>
    <w:p>
      <w:pPr>
        <w:pStyle w:val="14"/>
        <w:keepNext w:val="0"/>
        <w:keepLines w:val="0"/>
        <w:widowControl w:val="0"/>
        <w:shd w:val="clear" w:color="auto" w:fill="auto"/>
        <w:tabs>
          <w:tab w:val="left" w:pos="1277"/>
        </w:tabs>
        <w:bidi w:val="0"/>
        <w:spacing w:before="0" w:after="0" w:line="637" w:lineRule="exact"/>
        <w:ind w:left="0" w:right="0" w:firstLine="640"/>
        <w:jc w:val="left"/>
        <w:rPr>
          <w:color w:val="000000"/>
          <w:spacing w:val="0"/>
          <w:w w:val="100"/>
          <w:position w:val="0"/>
          <w:sz w:val="30"/>
          <w:szCs w:val="30"/>
        </w:rPr>
      </w:pPr>
      <w:r>
        <w:rPr>
          <w:rFonts w:hint="eastAsia" w:eastAsia="微软雅黑"/>
          <w:lang w:eastAsia="zh-CN"/>
        </w:rPr>
        <w:pict>
          <v:shape id="_x0000_s1028" o:spid="_x0000_s1028" o:spt="75" type="#_x0000_t75" style="position:absolute;left:0pt;margin-left:75.1pt;margin-top:27.9pt;height:183pt;width:258.8pt;mso-wrap-distance-bottom:0pt;mso-wrap-distance-top:0pt;z-index:251661312;mso-width-relative:page;mso-height-relative:page;" o:ole="t" filled="f" o:preferrelative="t" stroked="f" coordsize="21600,21600">
            <v:path/>
            <v:fill on="f" focussize="0,0"/>
            <v:stroke on="f"/>
            <v:imagedata r:id="rId17" o:title=""/>
            <o:lock v:ext="edit" aspectratio="t"/>
            <w10:wrap type="topAndBottom"/>
          </v:shape>
          <o:OLEObject Type="Embed" ProgID="Excel.Chart.8" ShapeID="_x0000_s1028" DrawAspect="Content" ObjectID="_1468075728" r:id="rId16">
            <o:LockedField>false</o:LockedField>
          </o:OLEObject>
        </w:pict>
      </w:r>
    </w:p>
    <w:p>
      <w:pPr>
        <w:pStyle w:val="14"/>
        <w:keepNext w:val="0"/>
        <w:keepLines w:val="0"/>
        <w:widowControl w:val="0"/>
        <w:shd w:val="clear" w:color="auto" w:fill="auto"/>
        <w:tabs>
          <w:tab w:val="left" w:pos="1277"/>
        </w:tabs>
        <w:bidi w:val="0"/>
        <w:spacing w:before="0" w:after="0" w:line="637" w:lineRule="exact"/>
        <w:ind w:left="0" w:right="0" w:firstLine="640"/>
        <w:jc w:val="left"/>
        <w:rPr>
          <w:sz w:val="30"/>
          <w:szCs w:val="30"/>
        </w:rPr>
      </w:pPr>
      <w:r>
        <w:rPr>
          <w:color w:val="000000"/>
          <w:spacing w:val="0"/>
          <w:w w:val="100"/>
          <w:position w:val="0"/>
          <w:sz w:val="30"/>
          <w:szCs w:val="30"/>
        </w:rPr>
        <w:t>四</w:t>
      </w:r>
      <w:bookmarkEnd w:id="48"/>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财政拨款收入支出决算总体情况说明</w:t>
      </w:r>
    </w:p>
    <w:p>
      <w:pPr>
        <w:pStyle w:val="4"/>
        <w:spacing w:line="560" w:lineRule="exact"/>
        <w:ind w:firstLine="640" w:firstLineChars="200"/>
        <w:rPr>
          <w:rFonts w:hint="eastAsia" w:ascii="仿宋_GB2312" w:eastAsia="仿宋_GB2312"/>
          <w:color w:val="000000"/>
          <w:sz w:val="32"/>
          <w:szCs w:val="32"/>
        </w:rPr>
      </w:pPr>
      <w:bookmarkStart w:id="49" w:name="bookmark74"/>
      <w:r>
        <w:rPr>
          <w:rFonts w:hint="eastAsia" w:ascii="仿宋_GB2312" w:eastAsia="仿宋_GB2312"/>
          <w:color w:val="000000"/>
          <w:sz w:val="32"/>
          <w:szCs w:val="32"/>
        </w:rPr>
        <w:t>1、2019年度财政拨款收入</w:t>
      </w:r>
      <w:r>
        <w:rPr>
          <w:rFonts w:hint="eastAsia" w:ascii="仿宋_GB2312" w:eastAsia="仿宋_GB2312"/>
          <w:color w:val="000000"/>
          <w:sz w:val="32"/>
          <w:szCs w:val="32"/>
          <w:lang w:val="en-US" w:eastAsia="zh-CN"/>
        </w:rPr>
        <w:t>1350.04</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481.61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55.46</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纪检监察体制改革，办公经费增加</w:t>
      </w:r>
      <w:r>
        <w:rPr>
          <w:rFonts w:hint="eastAsia" w:ascii="仿宋_GB2312" w:eastAsia="仿宋_GB2312"/>
          <w:color w:val="000000"/>
          <w:sz w:val="32"/>
          <w:szCs w:val="32"/>
        </w:rPr>
        <w:t>。</w:t>
      </w:r>
    </w:p>
    <w:p>
      <w:pPr>
        <w:pStyle w:val="4"/>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2、2019年度财政拨款支出</w:t>
      </w:r>
      <w:r>
        <w:rPr>
          <w:rFonts w:hint="eastAsia" w:ascii="仿宋_GB2312" w:eastAsia="仿宋_GB2312"/>
          <w:color w:val="000000"/>
          <w:sz w:val="32"/>
          <w:szCs w:val="32"/>
          <w:lang w:val="en-US" w:eastAsia="zh-CN"/>
        </w:rPr>
        <w:t>1350.04</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481.61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55.46</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纪检监察体制改革，办公经费增加</w:t>
      </w:r>
      <w:r>
        <w:rPr>
          <w:rFonts w:hint="eastAsia" w:ascii="仿宋_GB2312" w:eastAsia="仿宋_GB2312"/>
          <w:color w:val="000000"/>
          <w:sz w:val="32"/>
          <w:szCs w:val="32"/>
        </w:rPr>
        <w:t>。</w:t>
      </w:r>
    </w:p>
    <w:p>
      <w:pPr>
        <w:bidi w:val="0"/>
        <w:ind w:firstLine="960" w:firstLineChars="400"/>
        <w:rPr>
          <w:rFonts w:hint="eastAsia" w:eastAsia="微软雅黑"/>
          <w:lang w:eastAsia="zh-CN"/>
        </w:rPr>
      </w:pPr>
      <w:r>
        <w:rPr>
          <w:rFonts w:hint="eastAsia" w:eastAsia="微软雅黑"/>
          <w:lang w:eastAsia="zh-CN"/>
        </w:rPr>
        <w:object>
          <v:shape id="_x0000_i1026" o:spt="75" type="#_x0000_t75" style="height:221.55pt;width:275.2pt;" o:ole="t" filled="f" o:preferrelative="t" stroked="f" coordsize="21600,21600">
            <v:path/>
            <v:fill on="f" focussize="0,0"/>
            <v:stroke on="f"/>
            <v:imagedata r:id="rId19" o:title=""/>
            <o:lock v:ext="edit" aspectratio="t"/>
            <w10:wrap type="none"/>
            <w10:anchorlock/>
          </v:shape>
          <o:OLEObject Type="Embed" ProgID="Excel.Chart.8" ShapeID="_x0000_i1026" DrawAspect="Content" ObjectID="_1468075729" r:id="rId18">
            <o:LockedField>false</o:LockedField>
          </o:OLEObject>
        </w:object>
      </w:r>
    </w:p>
    <w:p>
      <w:pPr>
        <w:pStyle w:val="14"/>
        <w:keepNext w:val="0"/>
        <w:keepLines w:val="0"/>
        <w:widowControl w:val="0"/>
        <w:shd w:val="clear" w:color="auto" w:fill="auto"/>
        <w:tabs>
          <w:tab w:val="left" w:pos="1310"/>
        </w:tabs>
        <w:bidi w:val="0"/>
        <w:spacing w:before="0" w:after="0" w:line="623" w:lineRule="exact"/>
        <w:ind w:left="0" w:right="0" w:firstLine="680"/>
        <w:jc w:val="left"/>
        <w:rPr>
          <w:sz w:val="30"/>
          <w:szCs w:val="30"/>
        </w:rPr>
      </w:pPr>
      <w:r>
        <w:rPr>
          <w:color w:val="000000"/>
          <w:spacing w:val="0"/>
          <w:w w:val="100"/>
          <w:position w:val="0"/>
          <w:sz w:val="30"/>
          <w:szCs w:val="30"/>
        </w:rPr>
        <w:t>五</w:t>
      </w:r>
      <w:bookmarkEnd w:id="49"/>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一般公共预算财政拨款支岀决算情况说明</w:t>
      </w:r>
    </w:p>
    <w:p>
      <w:pPr>
        <w:pStyle w:val="14"/>
        <w:keepNext w:val="0"/>
        <w:keepLines w:val="0"/>
        <w:widowControl w:val="0"/>
        <w:shd w:val="clear" w:color="auto" w:fill="auto"/>
        <w:tabs>
          <w:tab w:val="left" w:pos="1708"/>
        </w:tabs>
        <w:bidi w:val="0"/>
        <w:spacing w:before="0" w:after="0" w:line="623" w:lineRule="exact"/>
        <w:ind w:left="0" w:right="0" w:firstLine="860"/>
        <w:jc w:val="left"/>
        <w:rPr>
          <w:sz w:val="30"/>
          <w:szCs w:val="30"/>
        </w:rPr>
      </w:pPr>
      <w:bookmarkStart w:id="50" w:name="bookmark75"/>
      <w:r>
        <w:rPr>
          <w:color w:val="000000"/>
          <w:spacing w:val="0"/>
          <w:w w:val="100"/>
          <w:position w:val="0"/>
          <w:sz w:val="30"/>
          <w:szCs w:val="30"/>
        </w:rPr>
        <w:t>（</w:t>
      </w:r>
      <w:bookmarkEnd w:id="50"/>
      <w:r>
        <w:rPr>
          <w:color w:val="000000"/>
          <w:spacing w:val="0"/>
          <w:w w:val="100"/>
          <w:position w:val="0"/>
          <w:sz w:val="30"/>
          <w:szCs w:val="30"/>
        </w:rPr>
        <w:t>一）</w:t>
      </w:r>
      <w:r>
        <w:rPr>
          <w:color w:val="000000"/>
          <w:spacing w:val="0"/>
          <w:w w:val="100"/>
          <w:position w:val="0"/>
          <w:sz w:val="30"/>
          <w:szCs w:val="30"/>
        </w:rPr>
        <w:tab/>
      </w:r>
      <w:r>
        <w:rPr>
          <w:color w:val="000000"/>
          <w:spacing w:val="0"/>
          <w:w w:val="100"/>
          <w:position w:val="0"/>
          <w:sz w:val="30"/>
          <w:szCs w:val="30"/>
        </w:rPr>
        <w:t>财政拨款支出决算总体情况说明。</w:t>
      </w:r>
    </w:p>
    <w:p>
      <w:pPr>
        <w:pStyle w:val="4"/>
        <w:spacing w:line="560" w:lineRule="exact"/>
        <w:ind w:firstLine="640" w:firstLineChars="200"/>
        <w:rPr>
          <w:rFonts w:hint="eastAsia" w:ascii="仿宋_GB2312" w:eastAsia="仿宋_GB2312"/>
          <w:color w:val="000000"/>
          <w:sz w:val="32"/>
          <w:szCs w:val="32"/>
        </w:rPr>
      </w:pPr>
      <w:bookmarkStart w:id="51" w:name="bookmark76"/>
      <w:r>
        <w:rPr>
          <w:rFonts w:hint="eastAsia" w:ascii="仿宋_GB2312" w:eastAsia="仿宋_GB2312"/>
          <w:color w:val="000000"/>
          <w:sz w:val="32"/>
          <w:szCs w:val="32"/>
        </w:rPr>
        <w:t>1、2019年度财政拨款收入</w:t>
      </w:r>
      <w:r>
        <w:rPr>
          <w:rFonts w:hint="eastAsia" w:ascii="仿宋_GB2312" w:eastAsia="仿宋_GB2312"/>
          <w:color w:val="000000"/>
          <w:sz w:val="32"/>
          <w:szCs w:val="32"/>
          <w:lang w:val="en-US" w:eastAsia="zh-CN"/>
        </w:rPr>
        <w:t>1350.04</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481.61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55.46</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纪检监察体制改革，办公经费增加</w:t>
      </w:r>
      <w:r>
        <w:rPr>
          <w:rFonts w:hint="eastAsia" w:ascii="仿宋_GB2312" w:eastAsia="仿宋_GB2312"/>
          <w:color w:val="000000"/>
          <w:sz w:val="32"/>
          <w:szCs w:val="32"/>
        </w:rPr>
        <w:t>。</w:t>
      </w:r>
    </w:p>
    <w:p>
      <w:pPr>
        <w:pStyle w:val="4"/>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2、2019年度财政拨款支出</w:t>
      </w:r>
      <w:r>
        <w:rPr>
          <w:rFonts w:hint="eastAsia" w:ascii="仿宋_GB2312" w:eastAsia="仿宋_GB2312"/>
          <w:color w:val="000000"/>
          <w:sz w:val="32"/>
          <w:szCs w:val="32"/>
          <w:lang w:val="en-US" w:eastAsia="zh-CN"/>
        </w:rPr>
        <w:t>1350.04</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481.61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55.46</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纪检监察体制改革，办公经费增加</w:t>
      </w:r>
      <w:r>
        <w:rPr>
          <w:rFonts w:hint="eastAsia" w:ascii="仿宋_GB2312" w:eastAsia="仿宋_GB2312"/>
          <w:color w:val="000000"/>
          <w:sz w:val="32"/>
          <w:szCs w:val="32"/>
        </w:rPr>
        <w:t>。</w:t>
      </w:r>
    </w:p>
    <w:p>
      <w:pPr>
        <w:bidi w:val="0"/>
        <w:ind w:firstLine="960" w:firstLineChars="400"/>
        <w:rPr>
          <w:rFonts w:hint="eastAsia" w:eastAsia="微软雅黑"/>
          <w:lang w:eastAsia="zh-CN"/>
        </w:rPr>
      </w:pPr>
      <w:r>
        <w:rPr>
          <w:rFonts w:hint="eastAsia" w:eastAsia="微软雅黑"/>
          <w:lang w:eastAsia="zh-CN"/>
        </w:rPr>
        <w:object>
          <v:shape id="_x0000_i1027" o:spt="75" type="#_x0000_t75" style="height:221.55pt;width:275.2pt;" o:ole="t" filled="f" o:preferrelative="t" stroked="f" coordsize="21600,21600">
            <v:path/>
            <v:fill on="f" focussize="0,0"/>
            <v:stroke on="f"/>
            <v:imagedata r:id="rId19" o:title=""/>
            <o:lock v:ext="edit" aspectratio="t"/>
            <w10:wrap type="none"/>
            <w10:anchorlock/>
          </v:shape>
          <o:OLEObject Type="Embed" ProgID="Excel.Chart.8" ShapeID="_x0000_i1027" DrawAspect="Content" ObjectID="_1468075730" r:id="rId20">
            <o:LockedField>false</o:LockedField>
          </o:OLEObject>
        </w:object>
      </w:r>
    </w:p>
    <w:p>
      <w:pPr>
        <w:pStyle w:val="14"/>
        <w:keepNext w:val="0"/>
        <w:keepLines w:val="0"/>
        <w:widowControl w:val="0"/>
        <w:shd w:val="clear" w:color="auto" w:fill="auto"/>
        <w:tabs>
          <w:tab w:val="left" w:pos="1728"/>
        </w:tabs>
        <w:bidi w:val="0"/>
        <w:spacing w:before="0" w:after="0" w:line="623" w:lineRule="exact"/>
        <w:ind w:left="0" w:right="0" w:firstLine="880"/>
        <w:jc w:val="left"/>
        <w:rPr>
          <w:sz w:val="30"/>
          <w:szCs w:val="30"/>
        </w:rPr>
      </w:pPr>
      <w:r>
        <w:rPr>
          <w:color w:val="000000"/>
          <w:spacing w:val="0"/>
          <w:w w:val="100"/>
          <w:position w:val="0"/>
          <w:sz w:val="30"/>
          <w:szCs w:val="30"/>
        </w:rPr>
        <w:t>（</w:t>
      </w:r>
      <w:bookmarkEnd w:id="51"/>
      <w:r>
        <w:rPr>
          <w:color w:val="000000"/>
          <w:spacing w:val="0"/>
          <w:w w:val="100"/>
          <w:position w:val="0"/>
          <w:sz w:val="30"/>
          <w:szCs w:val="30"/>
        </w:rPr>
        <w:t>二）</w:t>
      </w:r>
      <w:r>
        <w:rPr>
          <w:color w:val="000000"/>
          <w:spacing w:val="0"/>
          <w:w w:val="100"/>
          <w:position w:val="0"/>
          <w:sz w:val="30"/>
          <w:szCs w:val="30"/>
        </w:rPr>
        <w:tab/>
      </w:r>
      <w:r>
        <w:rPr>
          <w:color w:val="000000"/>
          <w:spacing w:val="0"/>
          <w:w w:val="100"/>
          <w:position w:val="0"/>
          <w:sz w:val="30"/>
          <w:szCs w:val="30"/>
        </w:rPr>
        <w:t>财政拨款支出决算具体情况说明。</w:t>
      </w:r>
    </w:p>
    <w:p>
      <w:pPr>
        <w:keepNext w:val="0"/>
        <w:keepLines w:val="0"/>
        <w:pageBreakBefore w:val="0"/>
        <w:widowControl/>
        <w:kinsoku/>
        <w:wordWrap/>
        <w:overflowPunct/>
        <w:topLinePunct w:val="0"/>
        <w:autoSpaceDE/>
        <w:autoSpaceDN/>
        <w:bidi w:val="0"/>
        <w:spacing w:after="0" w:line="560" w:lineRule="exact"/>
        <w:ind w:firstLine="640" w:firstLineChars="200"/>
        <w:textAlignment w:val="auto"/>
        <w:rPr>
          <w:rFonts w:hint="eastAsia" w:ascii="黑体" w:eastAsia="黑体" w:cs="??_GB2312"/>
          <w:bCs/>
          <w:color w:val="000000"/>
          <w:sz w:val="32"/>
          <w:szCs w:val="32"/>
        </w:rPr>
      </w:pPr>
      <w:bookmarkStart w:id="52" w:name="bookmark79"/>
      <w:r>
        <w:rPr>
          <w:rFonts w:hint="eastAsia" w:ascii="仿宋_GB2312" w:eastAsia="仿宋_GB2312"/>
          <w:color w:val="000000"/>
          <w:sz w:val="32"/>
          <w:szCs w:val="32"/>
        </w:rPr>
        <w:t>2019 年财政拨款支出年初预算为</w:t>
      </w:r>
      <w:r>
        <w:rPr>
          <w:rFonts w:hint="eastAsia" w:ascii="仿宋_GB2312" w:eastAsia="仿宋_GB2312"/>
          <w:color w:val="000000"/>
          <w:sz w:val="32"/>
          <w:szCs w:val="32"/>
          <w:lang w:val="en-US" w:eastAsia="zh-CN"/>
        </w:rPr>
        <w:t>761.78</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1350.04</w:t>
      </w:r>
      <w:r>
        <w:rPr>
          <w:rFonts w:hint="eastAsia" w:ascii="仿宋_GB2312" w:eastAsia="仿宋_GB2312"/>
          <w:color w:val="000000"/>
          <w:sz w:val="32"/>
          <w:szCs w:val="32"/>
        </w:rPr>
        <w:t>万元，完成年初预算的</w:t>
      </w:r>
      <w:r>
        <w:rPr>
          <w:rFonts w:hint="eastAsia" w:ascii="仿宋_GB2312" w:eastAsia="仿宋_GB2312"/>
          <w:color w:val="000000"/>
          <w:sz w:val="32"/>
          <w:szCs w:val="32"/>
          <w:lang w:val="en-US" w:eastAsia="zh-CN"/>
        </w:rPr>
        <w:t>177.22</w:t>
      </w:r>
      <w:r>
        <w:rPr>
          <w:rFonts w:hint="eastAsia" w:ascii="仿宋_GB2312" w:eastAsia="仿宋_GB2312"/>
          <w:color w:val="000000"/>
          <w:sz w:val="32"/>
          <w:szCs w:val="32"/>
        </w:rPr>
        <w:t>%。按支出功能分类科目，其中:</w:t>
      </w:r>
    </w:p>
    <w:p>
      <w:pPr>
        <w:pStyle w:val="4"/>
        <w:keepNext w:val="0"/>
        <w:keepLines w:val="0"/>
        <w:pageBreakBefore w:val="0"/>
        <w:widowControl/>
        <w:kinsoku/>
        <w:wordWrap/>
        <w:overflowPunct/>
        <w:topLinePunct w:val="0"/>
        <w:autoSpaceDE/>
        <w:autoSpaceDN/>
        <w:bidi w:val="0"/>
        <w:spacing w:line="560" w:lineRule="exact"/>
        <w:ind w:firstLine="633"/>
        <w:textAlignment w:val="auto"/>
        <w:rPr>
          <w:rFonts w:hint="eastAsia" w:ascii="黑体" w:eastAsia="黑体" w:cs="仿宋_GB2312"/>
          <w:bCs/>
          <w:color w:val="000000"/>
          <w:sz w:val="32"/>
          <w:szCs w:val="32"/>
        </w:rPr>
      </w:pPr>
      <w:r>
        <w:rPr>
          <w:rFonts w:hint="eastAsia" w:ascii="仿宋_GB2312" w:hAnsi="Times New Roman" w:eastAsia="仿宋_GB2312"/>
          <w:color w:val="000000"/>
          <w:sz w:val="32"/>
          <w:szCs w:val="32"/>
        </w:rPr>
        <w:t>1、一般公共服务支出（类）</w:t>
      </w:r>
      <w:r>
        <w:rPr>
          <w:rFonts w:hint="eastAsia" w:ascii="仿宋_GB2312" w:hAnsi="Times New Roman" w:eastAsia="仿宋_GB2312"/>
          <w:color w:val="000000"/>
          <w:sz w:val="32"/>
          <w:szCs w:val="32"/>
          <w:lang w:eastAsia="zh-CN"/>
        </w:rPr>
        <w:t>纪检监察事务</w:t>
      </w:r>
      <w:r>
        <w:rPr>
          <w:rFonts w:hint="eastAsia" w:ascii="仿宋_GB2312" w:hAnsi="Times New Roman" w:eastAsia="仿宋_GB2312"/>
          <w:color w:val="000000"/>
          <w:sz w:val="32"/>
          <w:szCs w:val="32"/>
        </w:rPr>
        <w:t>（款）行政运行（项）。</w:t>
      </w:r>
    </w:p>
    <w:p>
      <w:pPr>
        <w:pStyle w:val="4"/>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w:t>
      </w:r>
      <w:r>
        <w:rPr>
          <w:rFonts w:hint="eastAsia" w:ascii="仿宋_GB2312" w:eastAsia="仿宋_GB2312"/>
          <w:color w:val="000000"/>
          <w:sz w:val="32"/>
          <w:szCs w:val="32"/>
          <w:lang w:val="en-US" w:eastAsia="zh-CN"/>
        </w:rPr>
        <w:t>626.78</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1145.19</w:t>
      </w:r>
      <w:r>
        <w:rPr>
          <w:rFonts w:hint="eastAsia" w:ascii="仿宋_GB2312" w:eastAsia="仿宋_GB2312"/>
          <w:color w:val="000000"/>
          <w:sz w:val="32"/>
          <w:szCs w:val="32"/>
        </w:rPr>
        <w:t>万元，完成年初预算的</w:t>
      </w:r>
      <w:r>
        <w:rPr>
          <w:rFonts w:hint="eastAsia" w:ascii="仿宋_GB2312" w:eastAsia="仿宋_GB2312"/>
          <w:color w:val="000000"/>
          <w:sz w:val="32"/>
          <w:szCs w:val="32"/>
          <w:lang w:val="en-US" w:eastAsia="zh-CN"/>
        </w:rPr>
        <w:t>182.71</w:t>
      </w:r>
      <w:r>
        <w:rPr>
          <w:rFonts w:hint="eastAsia" w:ascii="仿宋_GB2312" w:eastAsia="仿宋_GB2312"/>
          <w:color w:val="000000"/>
          <w:sz w:val="32"/>
          <w:szCs w:val="32"/>
        </w:rPr>
        <w:t>%。决算数大于预算数的主要原因是</w:t>
      </w:r>
      <w:r>
        <w:rPr>
          <w:rFonts w:hint="eastAsia" w:ascii="仿宋_GB2312" w:eastAsia="仿宋_GB2312"/>
          <w:color w:val="000000"/>
          <w:sz w:val="32"/>
          <w:szCs w:val="32"/>
          <w:lang w:eastAsia="zh-CN"/>
        </w:rPr>
        <w:t>纪检监察体制改革，人员经费公用经费增加</w:t>
      </w:r>
      <w:r>
        <w:rPr>
          <w:rFonts w:hint="eastAsia" w:ascii="仿宋_GB2312" w:eastAsia="仿宋_GB2312"/>
          <w:color w:val="000000"/>
          <w:sz w:val="32"/>
          <w:szCs w:val="32"/>
        </w:rPr>
        <w:t>。较上年增加</w:t>
      </w:r>
      <w:r>
        <w:rPr>
          <w:rFonts w:hint="eastAsia" w:ascii="仿宋_GB2312" w:eastAsia="仿宋_GB2312"/>
          <w:color w:val="000000"/>
          <w:sz w:val="32"/>
          <w:szCs w:val="32"/>
          <w:lang w:val="en-US" w:eastAsia="zh-CN"/>
        </w:rPr>
        <w:t>606.65</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80.69</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纪检监察体制改革，人员经费公用经费增加</w:t>
      </w:r>
      <w:r>
        <w:rPr>
          <w:rFonts w:hint="eastAsia" w:ascii="仿宋_GB2312" w:eastAsia="仿宋_GB2312"/>
          <w:color w:val="000000"/>
          <w:sz w:val="32"/>
          <w:szCs w:val="32"/>
        </w:rPr>
        <w:t>；</w:t>
      </w:r>
    </w:p>
    <w:p>
      <w:pPr>
        <w:pStyle w:val="4"/>
        <w:keepNext w:val="0"/>
        <w:keepLines w:val="0"/>
        <w:pageBreakBefore w:val="0"/>
        <w:widowControl/>
        <w:kinsoku/>
        <w:wordWrap/>
        <w:overflowPunct/>
        <w:topLinePunct w:val="0"/>
        <w:autoSpaceDE/>
        <w:autoSpaceDN/>
        <w:bidi w:val="0"/>
        <w:spacing w:line="560" w:lineRule="exact"/>
        <w:ind w:firstLine="633"/>
        <w:textAlignment w:val="auto"/>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lang w:val="en-US" w:eastAsia="zh-CN"/>
        </w:rPr>
        <w:t>2、</w:t>
      </w:r>
      <w:r>
        <w:rPr>
          <w:rFonts w:hint="eastAsia" w:ascii="仿宋_GB2312" w:hAnsi="Times New Roman" w:eastAsia="仿宋_GB2312"/>
          <w:color w:val="000000"/>
          <w:sz w:val="32"/>
          <w:szCs w:val="32"/>
        </w:rPr>
        <w:t>一般公共服务支出（类）</w:t>
      </w:r>
      <w:r>
        <w:rPr>
          <w:rFonts w:hint="eastAsia" w:ascii="仿宋_GB2312" w:hAnsi="Times New Roman" w:eastAsia="仿宋_GB2312"/>
          <w:color w:val="000000"/>
          <w:sz w:val="32"/>
          <w:szCs w:val="32"/>
          <w:lang w:eastAsia="zh-CN"/>
        </w:rPr>
        <w:t>纪检监察事务</w:t>
      </w:r>
      <w:r>
        <w:rPr>
          <w:rFonts w:hint="eastAsia" w:ascii="仿宋_GB2312" w:hAnsi="Times New Roman" w:eastAsia="仿宋_GB2312"/>
          <w:color w:val="000000"/>
          <w:sz w:val="32"/>
          <w:szCs w:val="32"/>
        </w:rPr>
        <w:t>（款）</w:t>
      </w:r>
      <w:r>
        <w:rPr>
          <w:rFonts w:hint="eastAsia" w:ascii="仿宋_GB2312" w:hAnsi="Times New Roman" w:eastAsia="仿宋_GB2312"/>
          <w:color w:val="000000"/>
          <w:sz w:val="32"/>
          <w:szCs w:val="32"/>
          <w:lang w:eastAsia="zh-CN"/>
        </w:rPr>
        <w:t>一般行政管理事务</w:t>
      </w:r>
      <w:r>
        <w:rPr>
          <w:rFonts w:hint="eastAsia" w:ascii="仿宋_GB2312" w:hAnsi="Times New Roman" w:eastAsia="仿宋_GB2312"/>
          <w:color w:val="000000"/>
          <w:sz w:val="32"/>
          <w:szCs w:val="32"/>
        </w:rPr>
        <w:t>（项）。</w:t>
      </w:r>
    </w:p>
    <w:p>
      <w:pPr>
        <w:pStyle w:val="4"/>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w:t>
      </w:r>
      <w:r>
        <w:rPr>
          <w:rFonts w:hint="eastAsia" w:ascii="仿宋_GB2312" w:eastAsia="仿宋_GB2312"/>
          <w:color w:val="000000"/>
          <w:sz w:val="32"/>
          <w:szCs w:val="32"/>
          <w:lang w:val="en-US" w:eastAsia="zh-CN"/>
        </w:rPr>
        <w:t>135</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183.6</w:t>
      </w:r>
      <w:r>
        <w:rPr>
          <w:rFonts w:hint="eastAsia" w:ascii="仿宋_GB2312" w:eastAsia="仿宋_GB2312"/>
          <w:color w:val="000000"/>
          <w:sz w:val="32"/>
          <w:szCs w:val="32"/>
        </w:rPr>
        <w:t>万元，完成年初预算的</w:t>
      </w:r>
      <w:r>
        <w:rPr>
          <w:rFonts w:hint="eastAsia" w:ascii="仿宋_GB2312" w:eastAsia="仿宋_GB2312"/>
          <w:color w:val="000000"/>
          <w:sz w:val="32"/>
          <w:szCs w:val="32"/>
          <w:lang w:val="en-US" w:eastAsia="zh-CN"/>
        </w:rPr>
        <w:t>136</w:t>
      </w:r>
      <w:r>
        <w:rPr>
          <w:rFonts w:hint="eastAsia" w:ascii="仿宋_GB2312" w:eastAsia="仿宋_GB2312"/>
          <w:color w:val="000000"/>
          <w:sz w:val="32"/>
          <w:szCs w:val="32"/>
        </w:rPr>
        <w:t>%。决算数大于或小于预算数的主要原因是</w:t>
      </w:r>
      <w:r>
        <w:rPr>
          <w:rFonts w:hint="eastAsia" w:ascii="仿宋_GB2312" w:eastAsia="仿宋_GB2312"/>
          <w:color w:val="000000"/>
          <w:sz w:val="32"/>
          <w:szCs w:val="32"/>
          <w:lang w:eastAsia="zh-CN"/>
        </w:rPr>
        <w:t>纪检监察体制改革，项目支出增加</w:t>
      </w:r>
      <w:r>
        <w:rPr>
          <w:rFonts w:hint="eastAsia" w:ascii="仿宋_GB2312" w:eastAsia="仿宋_GB2312"/>
          <w:color w:val="000000"/>
          <w:sz w:val="32"/>
          <w:szCs w:val="32"/>
        </w:rPr>
        <w:t>。较上年增加</w:t>
      </w:r>
      <w:r>
        <w:rPr>
          <w:rFonts w:hint="eastAsia" w:ascii="仿宋_GB2312" w:eastAsia="仿宋_GB2312"/>
          <w:color w:val="000000"/>
          <w:sz w:val="32"/>
          <w:szCs w:val="32"/>
          <w:lang w:val="en-US" w:eastAsia="zh-CN"/>
        </w:rPr>
        <w:t>67.32</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57.89</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纪检监察体制改革，人员经费公用经费增加</w:t>
      </w:r>
      <w:r>
        <w:rPr>
          <w:rFonts w:hint="eastAsia" w:ascii="仿宋_GB2312" w:eastAsia="仿宋_GB2312"/>
          <w:color w:val="000000"/>
          <w:sz w:val="32"/>
          <w:szCs w:val="32"/>
        </w:rPr>
        <w:t>；</w:t>
      </w:r>
    </w:p>
    <w:p>
      <w:pPr>
        <w:pStyle w:val="4"/>
        <w:keepNext w:val="0"/>
        <w:keepLines w:val="0"/>
        <w:pageBreakBefore w:val="0"/>
        <w:widowControl/>
        <w:kinsoku/>
        <w:wordWrap/>
        <w:overflowPunct/>
        <w:topLinePunct w:val="0"/>
        <w:autoSpaceDE/>
        <w:autoSpaceDN/>
        <w:bidi w:val="0"/>
        <w:spacing w:line="560" w:lineRule="exact"/>
        <w:ind w:firstLine="633"/>
        <w:textAlignment w:val="auto"/>
        <w:rPr>
          <w:rFonts w:hint="eastAsia" w:ascii="仿宋_GB2312" w:hAnsi="Times New Roman" w:eastAsia="仿宋_GB2312"/>
          <w:color w:val="000000"/>
          <w:sz w:val="32"/>
          <w:szCs w:val="32"/>
          <w:lang w:val="en-US" w:eastAsia="zh-CN"/>
        </w:rPr>
      </w:pPr>
      <w:r>
        <w:rPr>
          <w:rFonts w:hint="eastAsia" w:ascii="仿宋_GB2312" w:hAnsi="Times New Roman" w:eastAsia="仿宋_GB2312"/>
          <w:color w:val="000000"/>
          <w:sz w:val="32"/>
          <w:szCs w:val="32"/>
          <w:lang w:val="en-US" w:eastAsia="zh-CN"/>
        </w:rPr>
        <w:t>3、社会保障和就业支出（类）其他社会保障和就业支出（款）其他社会保障和就业支出（项）。</w:t>
      </w:r>
    </w:p>
    <w:p>
      <w:pPr>
        <w:pStyle w:val="4"/>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1.66</w:t>
      </w:r>
      <w:r>
        <w:rPr>
          <w:rFonts w:hint="eastAsia" w:ascii="仿宋_GB2312" w:eastAsia="仿宋_GB2312"/>
          <w:color w:val="000000"/>
          <w:sz w:val="32"/>
          <w:szCs w:val="32"/>
        </w:rPr>
        <w:t>万元，完成年初</w:t>
      </w:r>
      <w:r>
        <w:rPr>
          <w:rFonts w:hint="eastAsia" w:ascii="仿宋_GB2312" w:eastAsia="仿宋_GB2312"/>
          <w:color w:val="000000"/>
          <w:sz w:val="32"/>
          <w:szCs w:val="32"/>
          <w:highlight w:val="none"/>
        </w:rPr>
        <w:t>预算的</w:t>
      </w:r>
      <w:r>
        <w:rPr>
          <w:rFonts w:hint="eastAsia" w:ascii="仿宋_GB2312" w:eastAsia="仿宋_GB2312"/>
          <w:color w:val="000000"/>
          <w:sz w:val="32"/>
          <w:szCs w:val="32"/>
          <w:highlight w:val="none"/>
          <w:lang w:val="en-US" w:eastAsia="zh-CN"/>
        </w:rPr>
        <w:t>0</w:t>
      </w:r>
      <w:r>
        <w:rPr>
          <w:rFonts w:hint="eastAsia" w:ascii="仿宋_GB2312" w:eastAsia="仿宋_GB2312"/>
          <w:color w:val="000000"/>
          <w:sz w:val="32"/>
          <w:szCs w:val="32"/>
          <w:highlight w:val="none"/>
        </w:rPr>
        <w:t>%。决</w:t>
      </w:r>
      <w:r>
        <w:rPr>
          <w:rFonts w:hint="eastAsia" w:ascii="仿宋_GB2312" w:eastAsia="仿宋_GB2312"/>
          <w:color w:val="000000"/>
          <w:sz w:val="32"/>
          <w:szCs w:val="32"/>
        </w:rPr>
        <w:t>算数大于或小于预算数的主要原因是</w:t>
      </w:r>
      <w:r>
        <w:rPr>
          <w:rFonts w:hint="eastAsia" w:ascii="仿宋_GB2312" w:eastAsia="仿宋_GB2312"/>
          <w:color w:val="000000"/>
          <w:sz w:val="32"/>
          <w:szCs w:val="32"/>
          <w:lang w:eastAsia="zh-CN"/>
        </w:rPr>
        <w:t>保障养老、职业年金、工伤等社会保障和就业支出</w:t>
      </w:r>
      <w:r>
        <w:rPr>
          <w:rFonts w:hint="eastAsia" w:ascii="仿宋_GB2312" w:eastAsia="仿宋_GB2312"/>
          <w:color w:val="000000"/>
          <w:sz w:val="32"/>
          <w:szCs w:val="32"/>
        </w:rPr>
        <w:t>。较上年增加</w:t>
      </w:r>
      <w:r>
        <w:rPr>
          <w:rFonts w:hint="eastAsia" w:ascii="仿宋_GB2312" w:eastAsia="仿宋_GB2312"/>
          <w:color w:val="000000"/>
          <w:sz w:val="32"/>
          <w:szCs w:val="32"/>
          <w:lang w:val="en-US" w:eastAsia="zh-CN"/>
        </w:rPr>
        <w:t>1.66</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100</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保障养老、职业年金、工伤等社会保障和就业支出</w:t>
      </w:r>
      <w:r>
        <w:rPr>
          <w:rFonts w:hint="eastAsia" w:ascii="仿宋_GB2312" w:eastAsia="仿宋_GB2312"/>
          <w:color w:val="000000"/>
          <w:sz w:val="32"/>
          <w:szCs w:val="32"/>
        </w:rPr>
        <w:t>；</w:t>
      </w:r>
    </w:p>
    <w:p>
      <w:pPr>
        <w:pStyle w:val="4"/>
        <w:keepNext w:val="0"/>
        <w:keepLines w:val="0"/>
        <w:pageBreakBefore w:val="0"/>
        <w:widowControl/>
        <w:kinsoku/>
        <w:wordWrap/>
        <w:overflowPunct/>
        <w:topLinePunct w:val="0"/>
        <w:autoSpaceDE/>
        <w:autoSpaceDN/>
        <w:bidi w:val="0"/>
        <w:spacing w:line="560" w:lineRule="exact"/>
        <w:ind w:firstLine="633"/>
        <w:textAlignment w:val="auto"/>
        <w:rPr>
          <w:rFonts w:hint="eastAsia" w:ascii="仿宋_GB2312" w:hAnsi="Times New Roman" w:eastAsia="仿宋_GB2312"/>
          <w:color w:val="000000"/>
          <w:sz w:val="32"/>
          <w:szCs w:val="32"/>
          <w:lang w:val="en-US" w:eastAsia="zh-CN"/>
        </w:rPr>
      </w:pPr>
      <w:r>
        <w:rPr>
          <w:rFonts w:hint="eastAsia" w:ascii="仿宋_GB2312" w:hAnsi="Times New Roman" w:eastAsia="仿宋_GB2312"/>
          <w:color w:val="000000"/>
          <w:sz w:val="32"/>
          <w:szCs w:val="32"/>
          <w:lang w:val="en-US" w:eastAsia="zh-CN"/>
        </w:rPr>
        <w:t>4、卫生健康支出（类）行政事业单位医疗（款）行政单位医疗（项）。</w:t>
      </w:r>
    </w:p>
    <w:p>
      <w:pPr>
        <w:pStyle w:val="4"/>
        <w:spacing w:line="560" w:lineRule="exact"/>
        <w:ind w:firstLine="633"/>
        <w:rPr>
          <w:rFonts w:hint="eastAsia"/>
        </w:rPr>
      </w:pPr>
      <w:r>
        <w:rPr>
          <w:rFonts w:hint="eastAsia" w:ascii="仿宋_GB2312" w:eastAsia="仿宋_GB2312"/>
          <w:color w:val="000000"/>
          <w:sz w:val="32"/>
          <w:szCs w:val="32"/>
        </w:rPr>
        <w:t>年初预算为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19.59</w:t>
      </w:r>
      <w:r>
        <w:rPr>
          <w:rFonts w:hint="eastAsia" w:ascii="仿宋_GB2312" w:eastAsia="仿宋_GB2312"/>
          <w:color w:val="000000"/>
          <w:sz w:val="32"/>
          <w:szCs w:val="32"/>
        </w:rPr>
        <w:t>万元，完成年初</w:t>
      </w:r>
      <w:r>
        <w:rPr>
          <w:rFonts w:hint="eastAsia" w:ascii="仿宋_GB2312" w:eastAsia="仿宋_GB2312"/>
          <w:color w:val="000000"/>
          <w:sz w:val="32"/>
          <w:szCs w:val="32"/>
          <w:highlight w:val="none"/>
        </w:rPr>
        <w:t>预算的</w:t>
      </w:r>
      <w:r>
        <w:rPr>
          <w:rFonts w:hint="eastAsia" w:ascii="仿宋_GB2312" w:eastAsia="仿宋_GB2312"/>
          <w:color w:val="000000"/>
          <w:sz w:val="32"/>
          <w:szCs w:val="32"/>
          <w:highlight w:val="none"/>
          <w:lang w:val="en-US" w:eastAsia="zh-CN"/>
        </w:rPr>
        <w:t>0</w:t>
      </w:r>
      <w:r>
        <w:rPr>
          <w:rFonts w:hint="eastAsia" w:ascii="仿宋_GB2312" w:eastAsia="仿宋_GB2312"/>
          <w:color w:val="000000"/>
          <w:sz w:val="32"/>
          <w:szCs w:val="32"/>
          <w:highlight w:val="none"/>
        </w:rPr>
        <w:t>%。决算</w:t>
      </w:r>
      <w:r>
        <w:rPr>
          <w:rFonts w:hint="eastAsia" w:ascii="仿宋_GB2312" w:eastAsia="仿宋_GB2312"/>
          <w:color w:val="000000"/>
          <w:sz w:val="32"/>
          <w:szCs w:val="32"/>
        </w:rPr>
        <w:t>数大于或小于预算数的主要原因是</w:t>
      </w:r>
      <w:r>
        <w:rPr>
          <w:rFonts w:hint="eastAsia" w:ascii="仿宋_GB2312" w:eastAsia="仿宋_GB2312"/>
          <w:color w:val="000000"/>
          <w:sz w:val="32"/>
          <w:szCs w:val="32"/>
          <w:lang w:eastAsia="zh-CN"/>
        </w:rPr>
        <w:t>保障人员医疗支出</w:t>
      </w:r>
      <w:r>
        <w:rPr>
          <w:rFonts w:hint="eastAsia" w:ascii="仿宋_GB2312" w:eastAsia="仿宋_GB2312"/>
          <w:color w:val="000000"/>
          <w:sz w:val="32"/>
          <w:szCs w:val="32"/>
        </w:rPr>
        <w:t>。较上年增加</w:t>
      </w:r>
      <w:r>
        <w:rPr>
          <w:rFonts w:hint="eastAsia" w:ascii="仿宋_GB2312" w:eastAsia="仿宋_GB2312"/>
          <w:color w:val="000000"/>
          <w:sz w:val="32"/>
          <w:szCs w:val="32"/>
          <w:lang w:val="en-US" w:eastAsia="zh-CN"/>
        </w:rPr>
        <w:t>19.27</w:t>
      </w:r>
      <w:r>
        <w:rPr>
          <w:rFonts w:hint="eastAsia" w:ascii="仿宋_GB2312" w:eastAsia="仿宋_GB2312"/>
          <w:color w:val="000000"/>
          <w:sz w:val="32"/>
          <w:szCs w:val="32"/>
        </w:rPr>
        <w:t>万元，</w:t>
      </w:r>
      <w:r>
        <w:rPr>
          <w:rFonts w:hint="eastAsia" w:ascii="仿宋_GB2312" w:eastAsia="仿宋_GB2312"/>
          <w:color w:val="000000"/>
          <w:sz w:val="32"/>
          <w:szCs w:val="32"/>
          <w:highlight w:val="none"/>
        </w:rPr>
        <w:t>增长</w:t>
      </w:r>
      <w:r>
        <w:rPr>
          <w:rFonts w:hint="eastAsia" w:ascii="仿宋_GB2312" w:eastAsia="仿宋_GB2312"/>
          <w:color w:val="000000"/>
          <w:sz w:val="32"/>
          <w:szCs w:val="32"/>
          <w:highlight w:val="none"/>
          <w:lang w:val="en-US" w:eastAsia="zh-CN"/>
        </w:rPr>
        <w:t>6021.88</w:t>
      </w:r>
      <w:r>
        <w:rPr>
          <w:rFonts w:hint="eastAsia" w:ascii="仿宋_GB2312" w:eastAsia="仿宋_GB2312"/>
          <w:color w:val="000000"/>
          <w:sz w:val="32"/>
          <w:szCs w:val="32"/>
          <w:highlight w:val="none"/>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保障人员医疗支出增加。</w:t>
      </w:r>
    </w:p>
    <w:p>
      <w:pPr>
        <w:pStyle w:val="14"/>
        <w:keepNext w:val="0"/>
        <w:keepLines w:val="0"/>
        <w:widowControl w:val="0"/>
        <w:shd w:val="clear" w:color="auto" w:fill="auto"/>
        <w:tabs>
          <w:tab w:val="left" w:pos="1310"/>
        </w:tabs>
        <w:bidi w:val="0"/>
        <w:spacing w:before="0" w:after="0" w:line="626" w:lineRule="exact"/>
        <w:ind w:left="0" w:right="0" w:firstLine="680"/>
        <w:jc w:val="left"/>
        <w:rPr>
          <w:sz w:val="30"/>
          <w:szCs w:val="30"/>
        </w:rPr>
      </w:pPr>
      <w:r>
        <w:rPr>
          <w:color w:val="000000"/>
          <w:spacing w:val="0"/>
          <w:w w:val="100"/>
          <w:position w:val="0"/>
          <w:sz w:val="30"/>
          <w:szCs w:val="30"/>
        </w:rPr>
        <w:t>六</w:t>
      </w:r>
      <w:bookmarkEnd w:id="52"/>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一般公共预算财政拨款基本支出决算情况说明</w:t>
      </w:r>
    </w:p>
    <w:p>
      <w:pPr>
        <w:pStyle w:val="4"/>
        <w:spacing w:line="560" w:lineRule="exact"/>
        <w:ind w:firstLine="640" w:firstLineChars="200"/>
        <w:rPr>
          <w:rFonts w:hint="eastAsia" w:ascii="仿宋_GB2312" w:eastAsia="仿宋_GB2312"/>
          <w:color w:val="000000"/>
          <w:sz w:val="32"/>
          <w:szCs w:val="32"/>
          <w:lang w:eastAsia="zh-CN"/>
        </w:rPr>
      </w:pPr>
      <w:bookmarkStart w:id="53" w:name="bookmark80"/>
      <w:r>
        <w:rPr>
          <w:rFonts w:hint="eastAsia" w:ascii="仿宋_GB2312" w:eastAsia="仿宋_GB2312"/>
          <w:color w:val="000000"/>
          <w:sz w:val="32"/>
          <w:szCs w:val="32"/>
        </w:rPr>
        <w:t>2019年度一般公共预算财政拨款基本支出</w:t>
      </w:r>
      <w:r>
        <w:rPr>
          <w:rFonts w:hint="eastAsia" w:ascii="仿宋_GB2312" w:eastAsia="仿宋_GB2312"/>
          <w:color w:val="000000"/>
          <w:sz w:val="32"/>
          <w:szCs w:val="32"/>
          <w:lang w:val="en-US" w:eastAsia="zh-CN"/>
        </w:rPr>
        <w:t>1166.44</w:t>
      </w:r>
      <w:r>
        <w:rPr>
          <w:rFonts w:hint="eastAsia" w:ascii="仿宋_GB2312" w:eastAsia="仿宋_GB2312"/>
          <w:color w:val="000000"/>
          <w:sz w:val="32"/>
          <w:szCs w:val="32"/>
        </w:rPr>
        <w:t>万元，包括：人员经费支</w:t>
      </w:r>
      <w:r>
        <w:rPr>
          <w:rFonts w:hint="eastAsia" w:ascii="仿宋_GB2312" w:eastAsia="仿宋_GB2312"/>
          <w:color w:val="000000"/>
          <w:sz w:val="32"/>
          <w:szCs w:val="32"/>
          <w:lang w:eastAsia="zh-CN"/>
        </w:rPr>
        <w:t>出</w:t>
      </w:r>
      <w:r>
        <w:rPr>
          <w:rFonts w:hint="eastAsia" w:ascii="仿宋_GB2312" w:eastAsia="仿宋_GB2312"/>
          <w:color w:val="000000"/>
          <w:sz w:val="32"/>
          <w:szCs w:val="32"/>
          <w:lang w:val="en-US" w:eastAsia="zh-CN"/>
        </w:rPr>
        <w:t>1015.97</w:t>
      </w:r>
      <w:r>
        <w:rPr>
          <w:rFonts w:hint="eastAsia" w:ascii="仿宋_GB2312" w:eastAsia="仿宋_GB2312"/>
          <w:color w:val="000000"/>
          <w:sz w:val="32"/>
          <w:szCs w:val="32"/>
        </w:rPr>
        <w:t>万元和公用经费支出</w:t>
      </w:r>
      <w:r>
        <w:rPr>
          <w:rFonts w:hint="eastAsia" w:ascii="仿宋_GB2312" w:eastAsia="仿宋_GB2312"/>
          <w:color w:val="000000"/>
          <w:sz w:val="32"/>
          <w:szCs w:val="32"/>
          <w:lang w:val="en-US" w:eastAsia="zh-CN"/>
        </w:rPr>
        <w:t>150.47</w:t>
      </w:r>
      <w:r>
        <w:rPr>
          <w:rFonts w:hint="eastAsia" w:ascii="仿宋_GB2312" w:eastAsia="仿宋_GB2312"/>
          <w:color w:val="000000"/>
          <w:sz w:val="32"/>
          <w:szCs w:val="32"/>
        </w:rPr>
        <w:t>万元。较上年增加</w:t>
      </w:r>
      <w:r>
        <w:rPr>
          <w:rFonts w:hint="eastAsia" w:ascii="仿宋_GB2312" w:eastAsia="仿宋_GB2312"/>
          <w:color w:val="000000"/>
          <w:sz w:val="32"/>
          <w:szCs w:val="32"/>
          <w:lang w:val="en-US" w:eastAsia="zh-CN"/>
        </w:rPr>
        <w:t>309.09</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36.05</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纪检监察体制改革，人员增加，业务量增大。</w:t>
      </w:r>
    </w:p>
    <w:p>
      <w:pPr>
        <w:pStyle w:val="4"/>
        <w:spacing w:line="560" w:lineRule="exact"/>
        <w:ind w:firstLine="640" w:firstLineChars="200"/>
        <w:rPr>
          <w:rFonts w:hint="default" w:ascii="仿宋_GB2312" w:eastAsia="仿宋_GB2312"/>
          <w:color w:val="000000"/>
          <w:sz w:val="32"/>
          <w:szCs w:val="32"/>
          <w:lang w:val="en-US" w:eastAsia="zh-CN"/>
        </w:rPr>
      </w:pPr>
      <w:r>
        <w:rPr>
          <w:rFonts w:hint="eastAsia" w:ascii="黑体" w:eastAsia="黑体" w:cs="仿宋_GB2312"/>
          <w:bCs/>
          <w:color w:val="000000"/>
          <w:sz w:val="32"/>
          <w:szCs w:val="32"/>
        </w:rPr>
        <w:t>人员经费</w:t>
      </w:r>
      <w:r>
        <w:rPr>
          <w:rFonts w:hint="eastAsia" w:ascii="黑体" w:eastAsia="黑体" w:cs="仿宋_GB2312"/>
          <w:bCs/>
          <w:color w:val="000000"/>
          <w:sz w:val="32"/>
          <w:szCs w:val="32"/>
          <w:lang w:val="en-US" w:eastAsia="zh-CN"/>
        </w:rPr>
        <w:t>1015.97</w:t>
      </w:r>
      <w:r>
        <w:rPr>
          <w:rFonts w:hint="eastAsia" w:ascii="黑体" w:eastAsia="黑体" w:cs="仿宋_GB2312"/>
          <w:bCs/>
          <w:color w:val="000000"/>
          <w:sz w:val="32"/>
          <w:szCs w:val="32"/>
        </w:rPr>
        <w:t>万元</w:t>
      </w:r>
      <w:r>
        <w:rPr>
          <w:rFonts w:hint="eastAsia" w:ascii="仿宋_GB2312" w:eastAsia="仿宋_GB2312"/>
          <w:color w:val="000000"/>
          <w:sz w:val="32"/>
          <w:szCs w:val="32"/>
        </w:rPr>
        <w:t>，主要包括（单位支出涉及的款级科目）基本工资</w:t>
      </w:r>
      <w:r>
        <w:rPr>
          <w:rFonts w:hint="eastAsia" w:ascii="仿宋_GB2312" w:eastAsia="仿宋_GB2312"/>
          <w:color w:val="000000"/>
          <w:sz w:val="32"/>
          <w:szCs w:val="32"/>
          <w:lang w:val="en-US" w:eastAsia="zh-CN"/>
        </w:rPr>
        <w:t>325.95</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，津贴补贴</w:t>
      </w:r>
      <w:r>
        <w:rPr>
          <w:rFonts w:hint="eastAsia" w:ascii="仿宋_GB2312" w:eastAsia="仿宋_GB2312"/>
          <w:color w:val="000000"/>
          <w:sz w:val="32"/>
          <w:szCs w:val="32"/>
          <w:lang w:val="en-US" w:eastAsia="zh-CN"/>
        </w:rPr>
        <w:t>225.23万元，奖金375.96万元，机关事业单位基本养老缴费67.26万元，职工基本医疗保险缴费19.08万元，公务员医疗补助缴费0.72万元，其他社会保险缴费1.44万元，其他工资福利支出0.33万元；</w:t>
      </w:r>
    </w:p>
    <w:p>
      <w:pPr>
        <w:pStyle w:val="4"/>
        <w:spacing w:line="560" w:lineRule="exact"/>
        <w:ind w:firstLine="640" w:firstLineChars="200"/>
        <w:rPr>
          <w:rFonts w:hint="eastAsia" w:ascii="仿宋_GB2312" w:eastAsia="仿宋_GB2312" w:cs="仿宋_GB2312"/>
          <w:bCs/>
          <w:color w:val="000000"/>
          <w:sz w:val="32"/>
          <w:szCs w:val="32"/>
        </w:rPr>
      </w:pPr>
      <w:r>
        <w:rPr>
          <w:rFonts w:hint="eastAsia" w:ascii="黑体" w:eastAsia="黑体" w:cs="仿宋_GB2312"/>
          <w:bCs/>
          <w:color w:val="000000"/>
          <w:sz w:val="32"/>
          <w:szCs w:val="32"/>
        </w:rPr>
        <w:t>公用经费</w:t>
      </w:r>
      <w:r>
        <w:rPr>
          <w:rFonts w:hint="eastAsia" w:ascii="黑体" w:eastAsia="黑体" w:cs="仿宋_GB2312"/>
          <w:bCs/>
          <w:color w:val="000000"/>
          <w:sz w:val="32"/>
          <w:szCs w:val="32"/>
          <w:lang w:val="en-US" w:eastAsia="zh-CN"/>
        </w:rPr>
        <w:t>150.47</w:t>
      </w:r>
      <w:r>
        <w:rPr>
          <w:rFonts w:hint="eastAsia" w:ascii="黑体" w:eastAsia="黑体" w:cs="仿宋_GB2312"/>
          <w:bCs/>
          <w:color w:val="000000"/>
          <w:sz w:val="32"/>
          <w:szCs w:val="32"/>
        </w:rPr>
        <w:t>万元，</w:t>
      </w:r>
      <w:r>
        <w:rPr>
          <w:rFonts w:hint="eastAsia" w:ascii="仿宋_GB2312" w:eastAsia="仿宋_GB2312" w:cs="仿宋_GB2312"/>
          <w:bCs/>
          <w:color w:val="000000"/>
          <w:sz w:val="32"/>
          <w:szCs w:val="32"/>
        </w:rPr>
        <w:t>主要包括（单位支出涉及的款级科目）办公费</w:t>
      </w:r>
      <w:r>
        <w:rPr>
          <w:rFonts w:hint="eastAsia" w:ascii="仿宋_GB2312" w:eastAsia="仿宋_GB2312"/>
          <w:color w:val="000000"/>
          <w:sz w:val="32"/>
          <w:szCs w:val="32"/>
          <w:lang w:val="en-US" w:eastAsia="zh-CN"/>
        </w:rPr>
        <w:t>55.73</w:t>
      </w:r>
      <w:r>
        <w:rPr>
          <w:rFonts w:hint="eastAsia" w:ascii="仿宋_GB2312" w:eastAsia="仿宋_GB2312" w:cs="仿宋_GB2312"/>
          <w:bCs/>
          <w:color w:val="000000"/>
          <w:sz w:val="32"/>
          <w:szCs w:val="32"/>
        </w:rPr>
        <w:t>万元</w:t>
      </w:r>
      <w:r>
        <w:rPr>
          <w:rFonts w:hint="eastAsia" w:ascii="仿宋_GB2312" w:eastAsia="仿宋_GB2312" w:cs="仿宋_GB2312"/>
          <w:bCs/>
          <w:color w:val="000000"/>
          <w:sz w:val="32"/>
          <w:szCs w:val="32"/>
          <w:lang w:eastAsia="zh-CN"/>
        </w:rPr>
        <w:t>，邮电费</w:t>
      </w:r>
      <w:r>
        <w:rPr>
          <w:rFonts w:hint="eastAsia" w:ascii="仿宋_GB2312" w:eastAsia="仿宋_GB2312" w:cs="仿宋_GB2312"/>
          <w:bCs/>
          <w:color w:val="000000"/>
          <w:sz w:val="32"/>
          <w:szCs w:val="32"/>
          <w:lang w:val="en-US" w:eastAsia="zh-CN"/>
        </w:rPr>
        <w:t>2.28万元，差旅费0.6万元，培训费4.79万元，劳务费9.82万元，委托业务费7.93万元，工会经费9.78万元，公务用车运行维护费1.52万元，其他交通费用58.02万元</w:t>
      </w:r>
      <w:r>
        <w:rPr>
          <w:rFonts w:hint="eastAsia" w:ascii="仿宋_GB2312" w:eastAsia="仿宋_GB2312" w:cs="仿宋_GB2312"/>
          <w:bCs/>
          <w:color w:val="000000"/>
          <w:sz w:val="32"/>
          <w:szCs w:val="32"/>
        </w:rPr>
        <w:t>。</w:t>
      </w:r>
    </w:p>
    <w:p>
      <w:pPr>
        <w:pStyle w:val="14"/>
        <w:keepNext w:val="0"/>
        <w:keepLines w:val="0"/>
        <w:widowControl w:val="0"/>
        <w:shd w:val="clear" w:color="auto" w:fill="auto"/>
        <w:bidi w:val="0"/>
        <w:spacing w:before="0" w:after="0" w:line="612" w:lineRule="exact"/>
        <w:ind w:left="0" w:right="0" w:firstLine="780"/>
        <w:jc w:val="both"/>
        <w:rPr>
          <w:sz w:val="30"/>
          <w:szCs w:val="30"/>
        </w:rPr>
      </w:pPr>
      <w:r>
        <w:rPr>
          <w:color w:val="000000"/>
          <w:spacing w:val="0"/>
          <w:w w:val="100"/>
          <w:position w:val="0"/>
          <w:sz w:val="30"/>
          <w:szCs w:val="30"/>
        </w:rPr>
        <w:t>七</w:t>
      </w:r>
      <w:bookmarkEnd w:id="53"/>
      <w:r>
        <w:rPr>
          <w:color w:val="000000"/>
          <w:spacing w:val="0"/>
          <w:w w:val="100"/>
          <w:position w:val="0"/>
          <w:sz w:val="30"/>
          <w:szCs w:val="30"/>
        </w:rPr>
        <w:t>、一般公共预算财政拨款</w:t>
      </w:r>
      <w:r>
        <w:rPr>
          <w:color w:val="000000"/>
          <w:spacing w:val="0"/>
          <w:w w:val="100"/>
          <w:position w:val="0"/>
          <w:sz w:val="30"/>
          <w:szCs w:val="30"/>
          <w:lang w:val="zh-CN" w:eastAsia="zh-CN" w:bidi="zh-CN"/>
        </w:rPr>
        <w:t>“三</w:t>
      </w:r>
      <w:r>
        <w:rPr>
          <w:color w:val="000000"/>
          <w:spacing w:val="0"/>
          <w:w w:val="100"/>
          <w:position w:val="0"/>
          <w:sz w:val="30"/>
          <w:szCs w:val="30"/>
        </w:rPr>
        <w:t>公”经费及会议费、培 训费支出决算情况说明</w:t>
      </w:r>
    </w:p>
    <w:p>
      <w:pPr>
        <w:pStyle w:val="14"/>
        <w:keepNext w:val="0"/>
        <w:keepLines w:val="0"/>
        <w:widowControl w:val="0"/>
        <w:shd w:val="clear" w:color="auto" w:fill="auto"/>
        <w:tabs>
          <w:tab w:val="left" w:pos="1841"/>
        </w:tabs>
        <w:bidi w:val="0"/>
        <w:spacing w:before="0" w:after="0" w:line="612" w:lineRule="exact"/>
        <w:ind w:left="0" w:right="0" w:firstLine="880"/>
        <w:jc w:val="both"/>
        <w:rPr>
          <w:sz w:val="30"/>
          <w:szCs w:val="30"/>
        </w:rPr>
      </w:pPr>
      <w:bookmarkStart w:id="54" w:name="bookmark81"/>
      <w:r>
        <w:rPr>
          <w:color w:val="000000"/>
          <w:spacing w:val="0"/>
          <w:w w:val="100"/>
          <w:position w:val="0"/>
          <w:sz w:val="30"/>
          <w:szCs w:val="30"/>
        </w:rPr>
        <w:t>（</w:t>
      </w:r>
      <w:bookmarkEnd w:id="54"/>
      <w:r>
        <w:rPr>
          <w:color w:val="000000"/>
          <w:spacing w:val="0"/>
          <w:w w:val="100"/>
          <w:position w:val="0"/>
          <w:sz w:val="30"/>
          <w:szCs w:val="30"/>
        </w:rPr>
        <w:t>一）</w:t>
      </w:r>
      <w:r>
        <w:rPr>
          <w:color w:val="000000"/>
          <w:spacing w:val="0"/>
          <w:w w:val="100"/>
          <w:position w:val="0"/>
          <w:sz w:val="30"/>
          <w:szCs w:val="30"/>
        </w:rPr>
        <w:tab/>
      </w:r>
      <w:r>
        <w:rPr>
          <w:color w:val="000000"/>
          <w:spacing w:val="0"/>
          <w:w w:val="100"/>
          <w:position w:val="0"/>
          <w:sz w:val="30"/>
          <w:szCs w:val="30"/>
          <w:lang w:val="zh-CN" w:eastAsia="zh-CN" w:bidi="zh-CN"/>
        </w:rPr>
        <w:t>“三公”经</w:t>
      </w:r>
      <w:r>
        <w:rPr>
          <w:color w:val="000000"/>
          <w:spacing w:val="0"/>
          <w:w w:val="100"/>
          <w:position w:val="0"/>
          <w:sz w:val="30"/>
          <w:szCs w:val="30"/>
        </w:rPr>
        <w:t>费财政拨款支出决算总体情况说明。</w:t>
      </w:r>
    </w:p>
    <w:p>
      <w:pPr>
        <w:keepNext w:val="0"/>
        <w:keepLines w:val="0"/>
        <w:pageBreakBefore w:val="0"/>
        <w:widowControl/>
        <w:kinsoku/>
        <w:wordWrap/>
        <w:overflowPunct/>
        <w:topLinePunct w:val="0"/>
        <w:autoSpaceDE/>
        <w:autoSpaceDN/>
        <w:bidi w:val="0"/>
        <w:spacing w:after="0" w:line="560" w:lineRule="exact"/>
        <w:ind w:firstLine="640" w:firstLineChars="200"/>
        <w:textAlignment w:val="auto"/>
        <w:rPr>
          <w:rFonts w:hint="eastAsia" w:ascii="仿宋_GB2312" w:eastAsia="仿宋_GB2312"/>
          <w:color w:val="000000"/>
          <w:sz w:val="32"/>
          <w:szCs w:val="32"/>
        </w:rPr>
      </w:pPr>
      <w:bookmarkStart w:id="55" w:name="bookmark82"/>
      <w:r>
        <w:rPr>
          <w:rFonts w:hint="eastAsia" w:ascii="仿宋_GB2312" w:eastAsia="仿宋_GB2312"/>
          <w:color w:val="000000"/>
          <w:sz w:val="32"/>
          <w:szCs w:val="32"/>
        </w:rPr>
        <w:t>2019年“三公”经费财政拨款支出预算为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highlight w:val="none"/>
          <w:lang w:val="en-US" w:eastAsia="zh-CN"/>
        </w:rPr>
        <w:t>1.51</w:t>
      </w:r>
      <w:r>
        <w:rPr>
          <w:rFonts w:hint="eastAsia" w:ascii="仿宋_GB2312" w:eastAsia="仿宋_GB2312"/>
          <w:color w:val="000000"/>
          <w:sz w:val="32"/>
          <w:szCs w:val="32"/>
          <w:highlight w:val="none"/>
        </w:rPr>
        <w:t>万元，完成预算的</w:t>
      </w:r>
      <w:r>
        <w:rPr>
          <w:rFonts w:hint="eastAsia" w:ascii="仿宋_GB2312" w:eastAsia="仿宋_GB2312"/>
          <w:color w:val="000000"/>
          <w:sz w:val="32"/>
          <w:szCs w:val="32"/>
          <w:highlight w:val="none"/>
          <w:lang w:val="en-US" w:eastAsia="zh-CN"/>
        </w:rPr>
        <w:t>0</w:t>
      </w:r>
      <w:r>
        <w:rPr>
          <w:rFonts w:hint="eastAsia" w:ascii="仿宋_GB2312" w:eastAsia="仿宋_GB2312"/>
          <w:color w:val="000000"/>
          <w:sz w:val="32"/>
          <w:szCs w:val="32"/>
          <w:highlight w:val="none"/>
        </w:rPr>
        <w:t>%。决算数</w:t>
      </w:r>
      <w:r>
        <w:rPr>
          <w:rFonts w:hint="eastAsia" w:ascii="仿宋_GB2312" w:eastAsia="仿宋_GB2312"/>
          <w:color w:val="000000"/>
          <w:sz w:val="32"/>
          <w:szCs w:val="32"/>
        </w:rPr>
        <w:t>较预算数增加</w:t>
      </w:r>
      <w:r>
        <w:rPr>
          <w:rFonts w:hint="eastAsia" w:ascii="仿宋_GB2312" w:eastAsia="仿宋_GB2312"/>
          <w:color w:val="000000"/>
          <w:sz w:val="32"/>
          <w:szCs w:val="32"/>
          <w:lang w:val="en-US" w:eastAsia="zh-CN"/>
        </w:rPr>
        <w:t>1.51</w:t>
      </w:r>
      <w:r>
        <w:rPr>
          <w:rFonts w:hint="eastAsia" w:ascii="仿宋_GB2312" w:eastAsia="仿宋_GB2312"/>
          <w:color w:val="000000"/>
          <w:sz w:val="32"/>
          <w:szCs w:val="32"/>
        </w:rPr>
        <w:t>万元，主要原因是</w:t>
      </w:r>
      <w:r>
        <w:rPr>
          <w:rFonts w:hint="eastAsia" w:ascii="仿宋_GB2312" w:eastAsia="仿宋_GB2312"/>
          <w:color w:val="000000"/>
          <w:sz w:val="32"/>
          <w:szCs w:val="32"/>
          <w:lang w:eastAsia="zh-CN"/>
        </w:rPr>
        <w:t>公务用车运行维护，包括过路过桥、停车等费用支出</w:t>
      </w:r>
      <w:r>
        <w:rPr>
          <w:rFonts w:hint="eastAsia" w:ascii="仿宋_GB2312" w:eastAsia="仿宋_GB2312"/>
          <w:color w:val="000000"/>
          <w:sz w:val="32"/>
          <w:szCs w:val="32"/>
        </w:rPr>
        <w:t>。</w:t>
      </w:r>
    </w:p>
    <w:p>
      <w:pPr>
        <w:pStyle w:val="14"/>
        <w:keepNext w:val="0"/>
        <w:keepLines w:val="0"/>
        <w:widowControl w:val="0"/>
        <w:shd w:val="clear" w:color="auto" w:fill="auto"/>
        <w:tabs>
          <w:tab w:val="left" w:pos="1841"/>
        </w:tabs>
        <w:bidi w:val="0"/>
        <w:spacing w:before="0" w:after="0" w:line="628" w:lineRule="exact"/>
        <w:ind w:left="0" w:right="0" w:firstLine="880"/>
        <w:jc w:val="both"/>
        <w:rPr>
          <w:sz w:val="30"/>
          <w:szCs w:val="30"/>
        </w:rPr>
      </w:pPr>
      <w:r>
        <w:rPr>
          <w:color w:val="000000"/>
          <w:spacing w:val="0"/>
          <w:w w:val="100"/>
          <w:position w:val="0"/>
          <w:sz w:val="30"/>
          <w:szCs w:val="30"/>
        </w:rPr>
        <w:t>（</w:t>
      </w:r>
      <w:bookmarkEnd w:id="55"/>
      <w:r>
        <w:rPr>
          <w:color w:val="000000"/>
          <w:spacing w:val="0"/>
          <w:w w:val="100"/>
          <w:position w:val="0"/>
          <w:sz w:val="30"/>
          <w:szCs w:val="30"/>
        </w:rPr>
        <w:t>二）</w:t>
      </w:r>
      <w:r>
        <w:rPr>
          <w:color w:val="000000"/>
          <w:spacing w:val="0"/>
          <w:w w:val="100"/>
          <w:position w:val="0"/>
          <w:sz w:val="30"/>
          <w:szCs w:val="30"/>
        </w:rPr>
        <w:tab/>
      </w:r>
      <w:r>
        <w:rPr>
          <w:color w:val="000000"/>
          <w:spacing w:val="0"/>
          <w:w w:val="100"/>
          <w:position w:val="0"/>
          <w:sz w:val="30"/>
          <w:szCs w:val="30"/>
          <w:lang w:val="zh-CN" w:eastAsia="zh-CN" w:bidi="zh-CN"/>
        </w:rPr>
        <w:t>“三公”经</w:t>
      </w:r>
      <w:r>
        <w:rPr>
          <w:color w:val="000000"/>
          <w:spacing w:val="0"/>
          <w:w w:val="100"/>
          <w:position w:val="0"/>
          <w:sz w:val="30"/>
          <w:szCs w:val="30"/>
        </w:rPr>
        <w:t>费财政拨款支出决算具体情况说明。</w:t>
      </w:r>
    </w:p>
    <w:p>
      <w:pPr>
        <w:pStyle w:val="4"/>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rPr>
      </w:pPr>
      <w:bookmarkStart w:id="56" w:name="bookmark85"/>
      <w:r>
        <w:rPr>
          <w:rFonts w:hint="eastAsia" w:ascii="仿宋_GB2312" w:eastAsia="仿宋_GB2312"/>
          <w:color w:val="000000"/>
          <w:sz w:val="32"/>
          <w:szCs w:val="32"/>
        </w:rPr>
        <w:t>2019年“三公”经费财政拨款支出决算中，因公出国（境）费支出决算</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%；公务用车购置费支出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%；公务用车运行维护费支出决算</w:t>
      </w:r>
      <w:r>
        <w:rPr>
          <w:rFonts w:hint="eastAsia" w:ascii="仿宋_GB2312" w:eastAsia="仿宋_GB2312"/>
          <w:color w:val="000000"/>
          <w:sz w:val="32"/>
          <w:szCs w:val="32"/>
          <w:lang w:val="en-US" w:eastAsia="zh-CN"/>
        </w:rPr>
        <w:t>1.51</w:t>
      </w:r>
      <w:r>
        <w:rPr>
          <w:rFonts w:hint="eastAsia" w:ascii="仿宋_GB2312" w:eastAsia="仿宋_GB2312"/>
          <w:color w:val="000000"/>
          <w:sz w:val="32"/>
          <w:szCs w:val="32"/>
        </w:rPr>
        <w:t>万元，占</w:t>
      </w:r>
      <w:r>
        <w:rPr>
          <w:rFonts w:hint="eastAsia" w:ascii="仿宋_GB2312" w:eastAsia="仿宋_GB2312"/>
          <w:color w:val="000000"/>
          <w:sz w:val="32"/>
          <w:szCs w:val="32"/>
          <w:lang w:val="en-US" w:eastAsia="zh-CN"/>
        </w:rPr>
        <w:t>100</w:t>
      </w:r>
      <w:r>
        <w:rPr>
          <w:rFonts w:hint="eastAsia" w:ascii="仿宋_GB2312" w:eastAsia="仿宋_GB2312"/>
          <w:color w:val="000000"/>
          <w:sz w:val="32"/>
          <w:szCs w:val="32"/>
        </w:rPr>
        <w:t>%；公务接待费支出决算</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%。具体情况如下：</w:t>
      </w:r>
    </w:p>
    <w:p>
      <w:pPr>
        <w:pStyle w:val="4"/>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1、因公出国（境）支出情况说明</w:t>
      </w:r>
    </w:p>
    <w:p>
      <w:pPr>
        <w:pStyle w:val="4"/>
        <w:shd w:val="clear" w:color="auto" w:fill="FFFFFF"/>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2019年因公出国（境）团组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个，</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人次，预算为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万元（如没有支出填0），完成预算的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%，决算数较预算数减少（增加）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万元。决算数较去年减少（增加）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万元，下降（增加）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w:t>
      </w:r>
      <w:r>
        <w:rPr>
          <w:rFonts w:hint="eastAsia" w:ascii="仿宋_GB2312" w:eastAsia="仿宋_GB2312"/>
          <w:color w:val="000000"/>
          <w:sz w:val="32"/>
          <w:szCs w:val="32"/>
          <w:lang w:eastAsia="zh-CN"/>
        </w:rPr>
        <w:t>。</w:t>
      </w:r>
    </w:p>
    <w:p>
      <w:pPr>
        <w:pStyle w:val="4"/>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2、公务用车购置费用支出情况说明。</w:t>
      </w:r>
    </w:p>
    <w:p>
      <w:pPr>
        <w:pStyle w:val="4"/>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2019年购置车辆</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台（如没有支出填0）。预算为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万元（如没有支出填0），完成预算的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%，决算数较预算数减少（增加）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pStyle w:val="4"/>
        <w:shd w:val="clear" w:color="auto" w:fill="FFFFFF"/>
        <w:spacing w:line="560" w:lineRule="exact"/>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rPr>
        <w:t>决算数较去年减少（增加）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万元，下降（增加）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w:t>
      </w:r>
      <w:r>
        <w:rPr>
          <w:rFonts w:hint="eastAsia" w:ascii="仿宋_GB2312" w:eastAsia="仿宋_GB2312"/>
          <w:color w:val="000000"/>
          <w:sz w:val="32"/>
          <w:szCs w:val="32"/>
          <w:lang w:eastAsia="zh-CN"/>
        </w:rPr>
        <w:t>。</w:t>
      </w:r>
    </w:p>
    <w:p>
      <w:pPr>
        <w:pStyle w:val="4"/>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3、公务用车运行维护费用支出情况说明。</w:t>
      </w:r>
    </w:p>
    <w:p>
      <w:pPr>
        <w:pStyle w:val="4"/>
        <w:shd w:val="clear" w:color="auto" w:fill="FFFFFF"/>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2019年公务用车运行维护费预算为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1.51</w:t>
      </w:r>
      <w:r>
        <w:rPr>
          <w:rFonts w:hint="eastAsia" w:ascii="仿宋_GB2312" w:eastAsia="仿宋_GB2312"/>
          <w:color w:val="000000"/>
          <w:sz w:val="32"/>
          <w:szCs w:val="32"/>
        </w:rPr>
        <w:t>万元（如没有支出填0</w:t>
      </w:r>
      <w:r>
        <w:rPr>
          <w:rFonts w:hint="eastAsia" w:ascii="仿宋_GB2312" w:eastAsia="仿宋_GB2312"/>
          <w:color w:val="000000"/>
          <w:sz w:val="32"/>
          <w:szCs w:val="32"/>
          <w:highlight w:val="none"/>
        </w:rPr>
        <w:t>），完成预算的</w:t>
      </w:r>
      <w:r>
        <w:rPr>
          <w:rFonts w:hint="eastAsia" w:ascii="仿宋_GB2312" w:eastAsia="仿宋_GB2312"/>
          <w:color w:val="000000"/>
          <w:sz w:val="32"/>
          <w:szCs w:val="32"/>
          <w:highlight w:val="none"/>
          <w:lang w:val="en-US" w:eastAsia="zh-CN"/>
        </w:rPr>
        <w:t>0</w:t>
      </w:r>
      <w:r>
        <w:rPr>
          <w:rFonts w:hint="eastAsia" w:ascii="仿宋_GB2312" w:eastAsia="仿宋_GB2312"/>
          <w:color w:val="000000"/>
          <w:sz w:val="32"/>
          <w:szCs w:val="32"/>
          <w:highlight w:val="none"/>
        </w:rPr>
        <w:t>%，决算</w:t>
      </w:r>
      <w:r>
        <w:rPr>
          <w:rFonts w:hint="eastAsia" w:ascii="仿宋_GB2312" w:eastAsia="仿宋_GB2312"/>
          <w:color w:val="000000"/>
          <w:sz w:val="32"/>
          <w:szCs w:val="32"/>
        </w:rPr>
        <w:t>数较预算数增加</w:t>
      </w:r>
      <w:r>
        <w:rPr>
          <w:rFonts w:hint="eastAsia" w:ascii="仿宋_GB2312" w:eastAsia="仿宋_GB2312"/>
          <w:color w:val="000000"/>
          <w:sz w:val="32"/>
          <w:szCs w:val="32"/>
          <w:lang w:val="en-US" w:eastAsia="zh-CN"/>
        </w:rPr>
        <w:t>1.51</w:t>
      </w:r>
      <w:r>
        <w:rPr>
          <w:rFonts w:hint="eastAsia" w:ascii="仿宋_GB2312" w:eastAsia="仿宋_GB2312"/>
          <w:color w:val="000000"/>
          <w:sz w:val="32"/>
          <w:szCs w:val="32"/>
        </w:rPr>
        <w:t>万元，主要原因是公务用车运行维护，包括过路过桥、停车等费用支出。</w:t>
      </w:r>
    </w:p>
    <w:p>
      <w:pPr>
        <w:pStyle w:val="4"/>
        <w:shd w:val="clear" w:color="auto" w:fill="FFFFFF"/>
        <w:spacing w:line="560" w:lineRule="exact"/>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rPr>
        <w:t>决算数较去年增加</w:t>
      </w:r>
      <w:r>
        <w:rPr>
          <w:rFonts w:hint="eastAsia" w:ascii="仿宋_GB2312" w:eastAsia="仿宋_GB2312"/>
          <w:color w:val="000000"/>
          <w:sz w:val="32"/>
          <w:szCs w:val="32"/>
          <w:lang w:val="en-US" w:eastAsia="zh-CN"/>
        </w:rPr>
        <w:t>0.73</w:t>
      </w:r>
      <w:r>
        <w:rPr>
          <w:rFonts w:hint="eastAsia" w:ascii="仿宋_GB2312" w:eastAsia="仿宋_GB2312"/>
          <w:color w:val="000000"/>
          <w:sz w:val="32"/>
          <w:szCs w:val="32"/>
        </w:rPr>
        <w:t>万元，增加</w:t>
      </w:r>
      <w:r>
        <w:rPr>
          <w:rFonts w:hint="eastAsia" w:ascii="仿宋_GB2312" w:eastAsia="仿宋_GB2312"/>
          <w:color w:val="000000"/>
          <w:sz w:val="32"/>
          <w:szCs w:val="32"/>
          <w:lang w:val="en-US" w:eastAsia="zh-CN"/>
        </w:rPr>
        <w:t>93.59</w:t>
      </w:r>
      <w:r>
        <w:rPr>
          <w:rFonts w:hint="eastAsia" w:ascii="仿宋_GB2312" w:eastAsia="仿宋_GB2312"/>
          <w:color w:val="000000"/>
          <w:sz w:val="32"/>
          <w:szCs w:val="32"/>
        </w:rPr>
        <w:t>%，主要原因是公务用车运行维护，包括过路过桥、停车等费用支出</w:t>
      </w:r>
      <w:r>
        <w:rPr>
          <w:rFonts w:hint="eastAsia" w:ascii="仿宋_GB2312" w:eastAsia="仿宋_GB2312"/>
          <w:color w:val="000000"/>
          <w:sz w:val="32"/>
          <w:szCs w:val="32"/>
          <w:lang w:eastAsia="zh-CN"/>
        </w:rPr>
        <w:t>。</w:t>
      </w:r>
    </w:p>
    <w:p>
      <w:pPr>
        <w:pStyle w:val="4"/>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4、公务接待费支出情况说明。</w:t>
      </w:r>
    </w:p>
    <w:p>
      <w:pPr>
        <w:pStyle w:val="4"/>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2019年公务接待</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人次，预算为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万元，支出决算为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万元（如没有支出填0），完成预算的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%，决算数较预算数减少</w:t>
      </w:r>
      <w:r>
        <w:rPr>
          <w:rFonts w:hint="eastAsia" w:ascii="仿宋_GB2312" w:eastAsia="仿宋_GB2312"/>
          <w:color w:val="000000"/>
          <w:sz w:val="32"/>
          <w:szCs w:val="32"/>
          <w:lang w:eastAsia="zh-CN"/>
        </w:rPr>
        <w:t>（增加）</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万元，主要原因是</w:t>
      </w:r>
      <w:r>
        <w:rPr>
          <w:rFonts w:hint="eastAsia" w:ascii="仿宋_GB2312" w:eastAsia="仿宋_GB2312"/>
          <w:color w:val="000000"/>
          <w:sz w:val="32"/>
          <w:szCs w:val="32"/>
          <w:lang w:eastAsia="zh-CN"/>
        </w:rPr>
        <w:t>本年度未发生公务接待</w:t>
      </w:r>
      <w:r>
        <w:rPr>
          <w:rFonts w:hint="eastAsia" w:ascii="仿宋_GB2312" w:eastAsia="仿宋_GB2312"/>
          <w:color w:val="000000"/>
          <w:sz w:val="32"/>
          <w:szCs w:val="32"/>
        </w:rPr>
        <w:t>。</w:t>
      </w:r>
    </w:p>
    <w:p>
      <w:pPr>
        <w:pStyle w:val="4"/>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决算数较去年减少</w:t>
      </w:r>
      <w:r>
        <w:rPr>
          <w:rFonts w:hint="eastAsia" w:ascii="仿宋_GB2312" w:eastAsia="仿宋_GB2312"/>
          <w:color w:val="000000"/>
          <w:sz w:val="32"/>
          <w:szCs w:val="32"/>
          <w:lang w:val="en-US" w:eastAsia="zh-CN"/>
        </w:rPr>
        <w:t>0.06</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100</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本年度未发生公务接待。</w:t>
      </w:r>
    </w:p>
    <w:p>
      <w:pPr>
        <w:pStyle w:val="3"/>
        <w:rPr>
          <w:rFonts w:hint="eastAsia"/>
        </w:rPr>
      </w:pPr>
      <w:r>
        <w:rPr>
          <w:rFonts w:hint="eastAsia" w:eastAsia="微软雅黑"/>
          <w:lang w:eastAsia="zh-CN"/>
        </w:rPr>
        <w:object>
          <v:shape id="_x0000_i1028" o:spt="75" type="#_x0000_t75" style="height:239.45pt;width:394.2pt;" o:ole="t" filled="f" o:preferrelative="t" stroked="f" coordsize="21600,21600">
            <v:path/>
            <v:fill on="f" focussize="0,0"/>
            <v:stroke on="f"/>
            <v:imagedata r:id="rId22" o:title=""/>
            <o:lock v:ext="edit" aspectratio="t"/>
            <w10:wrap type="none"/>
            <w10:anchorlock/>
          </v:shape>
          <o:OLEObject Type="Embed" ProgID="Excel.Chart.8" ShapeID="_x0000_i1028" DrawAspect="Content" ObjectID="_1468075731" r:id="rId21">
            <o:LockedField>false</o:LockedField>
          </o:OLEObject>
        </w:object>
      </w:r>
    </w:p>
    <w:bookmarkEnd w:id="56"/>
    <w:p>
      <w:pPr>
        <w:pStyle w:val="14"/>
        <w:keepNext w:val="0"/>
        <w:keepLines w:val="0"/>
        <w:widowControl w:val="0"/>
        <w:shd w:val="clear" w:color="auto" w:fill="auto"/>
        <w:tabs>
          <w:tab w:val="left" w:pos="1328"/>
        </w:tabs>
        <w:bidi w:val="0"/>
        <w:spacing w:before="0" w:after="0" w:line="623" w:lineRule="exact"/>
        <w:ind w:left="0" w:right="0" w:firstLine="680"/>
        <w:jc w:val="left"/>
        <w:rPr>
          <w:sz w:val="30"/>
          <w:szCs w:val="30"/>
        </w:rPr>
      </w:pPr>
      <w:bookmarkStart w:id="57" w:name="bookmark87"/>
      <w:r>
        <w:rPr>
          <w:color w:val="000000"/>
          <w:spacing w:val="0"/>
          <w:w w:val="100"/>
          <w:position w:val="0"/>
          <w:sz w:val="30"/>
          <w:szCs w:val="30"/>
        </w:rPr>
        <w:t>八</w:t>
      </w:r>
      <w:bookmarkEnd w:id="57"/>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政府性基金预算财政拨款收入支岀情况说明</w:t>
      </w:r>
    </w:p>
    <w:p>
      <w:pPr>
        <w:pStyle w:val="4"/>
        <w:spacing w:line="560" w:lineRule="exact"/>
        <w:ind w:firstLine="640" w:firstLineChars="200"/>
        <w:rPr>
          <w:rFonts w:hint="eastAsia" w:ascii="仿宋_GB2312" w:eastAsia="仿宋_GB2312"/>
          <w:color w:val="000000"/>
          <w:sz w:val="32"/>
          <w:szCs w:val="32"/>
          <w:lang w:eastAsia="zh-CN"/>
        </w:rPr>
      </w:pPr>
      <w:bookmarkStart w:id="58" w:name="bookmark88"/>
      <w:r>
        <w:rPr>
          <w:rFonts w:hint="eastAsia" w:ascii="仿宋_GB2312" w:eastAsia="仿宋_GB2312"/>
          <w:color w:val="000000"/>
          <w:sz w:val="32"/>
          <w:szCs w:val="32"/>
        </w:rPr>
        <w:t>本部门无政府性基金决算收支，并已公开空表</w:t>
      </w:r>
      <w:r>
        <w:rPr>
          <w:rFonts w:hint="eastAsia" w:ascii="仿宋_GB2312" w:eastAsia="仿宋_GB2312"/>
          <w:color w:val="000000"/>
          <w:sz w:val="32"/>
          <w:szCs w:val="32"/>
          <w:lang w:eastAsia="zh-CN"/>
        </w:rPr>
        <w:t>。</w:t>
      </w:r>
    </w:p>
    <w:p>
      <w:pPr>
        <w:pStyle w:val="14"/>
        <w:keepNext w:val="0"/>
        <w:keepLines w:val="0"/>
        <w:widowControl w:val="0"/>
        <w:shd w:val="clear" w:color="auto" w:fill="auto"/>
        <w:tabs>
          <w:tab w:val="left" w:pos="1328"/>
        </w:tabs>
        <w:bidi w:val="0"/>
        <w:spacing w:before="0" w:after="0" w:line="623" w:lineRule="exact"/>
        <w:ind w:left="0" w:right="0" w:firstLine="680"/>
        <w:jc w:val="left"/>
        <w:rPr>
          <w:sz w:val="30"/>
          <w:szCs w:val="30"/>
        </w:rPr>
      </w:pPr>
      <w:r>
        <w:rPr>
          <w:color w:val="000000"/>
          <w:spacing w:val="0"/>
          <w:w w:val="100"/>
          <w:position w:val="0"/>
          <w:sz w:val="30"/>
          <w:szCs w:val="30"/>
        </w:rPr>
        <w:t>九</w:t>
      </w:r>
      <w:bookmarkEnd w:id="58"/>
      <w:r>
        <w:rPr>
          <w:color w:val="000000"/>
          <w:spacing w:val="0"/>
          <w:w w:val="100"/>
          <w:position w:val="0"/>
          <w:sz w:val="30"/>
          <w:szCs w:val="30"/>
        </w:rPr>
        <w:t>、</w:t>
      </w:r>
      <w:r>
        <w:rPr>
          <w:color w:val="000000"/>
          <w:spacing w:val="0"/>
          <w:w w:val="100"/>
          <w:position w:val="0"/>
          <w:sz w:val="30"/>
          <w:szCs w:val="30"/>
        </w:rPr>
        <w:tab/>
      </w:r>
      <w:r>
        <w:rPr>
          <w:color w:val="000000"/>
          <w:spacing w:val="0"/>
          <w:w w:val="100"/>
          <w:position w:val="0"/>
          <w:sz w:val="30"/>
          <w:szCs w:val="30"/>
        </w:rPr>
        <w:t>国有资本经营财政拨款收入支出情况说明</w:t>
      </w:r>
    </w:p>
    <w:p>
      <w:pPr>
        <w:pStyle w:val="4"/>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本部门无国有资本经营决算拨款收支</w:t>
      </w:r>
      <w:r>
        <w:rPr>
          <w:rFonts w:hint="eastAsia" w:ascii="仿宋_GB2312" w:eastAsia="仿宋_GB2312"/>
          <w:color w:val="000000"/>
          <w:sz w:val="32"/>
          <w:szCs w:val="32"/>
          <w:lang w:eastAsia="zh-CN"/>
        </w:rPr>
        <w:t>。</w:t>
      </w:r>
    </w:p>
    <w:p>
      <w:pPr>
        <w:pStyle w:val="14"/>
        <w:keepNext w:val="0"/>
        <w:keepLines w:val="0"/>
        <w:widowControl w:val="0"/>
        <w:shd w:val="clear" w:color="auto" w:fill="auto"/>
        <w:bidi w:val="0"/>
        <w:spacing w:before="0" w:after="0" w:line="623" w:lineRule="exact"/>
        <w:ind w:left="0" w:right="0" w:firstLine="680"/>
        <w:jc w:val="left"/>
        <w:rPr>
          <w:sz w:val="30"/>
          <w:szCs w:val="30"/>
        </w:rPr>
      </w:pPr>
      <w:r>
        <w:rPr>
          <w:color w:val="000000"/>
          <w:spacing w:val="0"/>
          <w:w w:val="100"/>
          <w:position w:val="0"/>
          <w:sz w:val="30"/>
          <w:szCs w:val="30"/>
        </w:rPr>
        <w:t>十、预算绩效情况说明</w:t>
      </w:r>
    </w:p>
    <w:p>
      <w:pPr>
        <w:pStyle w:val="14"/>
        <w:keepNext w:val="0"/>
        <w:keepLines w:val="0"/>
        <w:widowControl w:val="0"/>
        <w:shd w:val="clear" w:color="auto" w:fill="auto"/>
        <w:bidi w:val="0"/>
        <w:spacing w:before="0" w:after="0" w:line="623" w:lineRule="exact"/>
        <w:ind w:left="1200" w:right="0" w:firstLine="0"/>
        <w:jc w:val="left"/>
        <w:rPr>
          <w:sz w:val="30"/>
          <w:szCs w:val="30"/>
        </w:rPr>
      </w:pPr>
      <w:bookmarkStart w:id="59" w:name="bookmark89"/>
      <w:r>
        <w:rPr>
          <w:color w:val="000000"/>
          <w:spacing w:val="0"/>
          <w:w w:val="100"/>
          <w:position w:val="0"/>
          <w:sz w:val="30"/>
          <w:szCs w:val="30"/>
        </w:rPr>
        <w:t>（</w:t>
      </w:r>
      <w:bookmarkEnd w:id="59"/>
      <w:r>
        <w:rPr>
          <w:color w:val="000000"/>
          <w:spacing w:val="0"/>
          <w:w w:val="100"/>
          <w:position w:val="0"/>
          <w:sz w:val="30"/>
          <w:szCs w:val="30"/>
        </w:rPr>
        <w:t>一）预算绩效管理工作开展情况说明。</w:t>
      </w:r>
    </w:p>
    <w:p>
      <w:pPr>
        <w:spacing w:line="550" w:lineRule="exact"/>
        <w:ind w:firstLine="640" w:firstLineChars="200"/>
        <w:rPr>
          <w:rFonts w:hint="eastAsia" w:ascii="仿宋_GB2312" w:eastAsia="仿宋_GB2312"/>
          <w:sz w:val="32"/>
          <w:szCs w:val="32"/>
        </w:rPr>
      </w:pPr>
      <w:bookmarkStart w:id="60" w:name="bookmark90"/>
      <w:r>
        <w:rPr>
          <w:rFonts w:hint="eastAsia" w:ascii="仿宋_GB2312" w:eastAsia="仿宋_GB2312"/>
          <w:sz w:val="32"/>
          <w:szCs w:val="32"/>
        </w:rPr>
        <w:t>根据预算绩效管理要求，本部门组织对2019年度一般公共预算项目支出全面开展绩效自评，其中</w:t>
      </w:r>
      <w:r>
        <w:rPr>
          <w:rFonts w:hint="eastAsia" w:ascii="仿宋_GB2312" w:eastAsia="仿宋_GB2312"/>
          <w:sz w:val="32"/>
          <w:szCs w:val="32"/>
          <w:highlight w:val="none"/>
        </w:rPr>
        <w:t>，一级项目</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个，二级项目</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个，共涉及资金</w:t>
      </w:r>
      <w:r>
        <w:rPr>
          <w:rFonts w:hint="eastAsia" w:ascii="仿宋_GB2312" w:eastAsia="仿宋_GB2312"/>
          <w:sz w:val="32"/>
          <w:szCs w:val="32"/>
          <w:highlight w:val="none"/>
          <w:lang w:val="en-US" w:eastAsia="zh-CN"/>
        </w:rPr>
        <w:t>183.60</w:t>
      </w:r>
      <w:r>
        <w:rPr>
          <w:rFonts w:hint="eastAsia" w:ascii="仿宋_GB2312" w:eastAsia="仿宋_GB2312"/>
          <w:sz w:val="32"/>
          <w:szCs w:val="32"/>
          <w:highlight w:val="none"/>
        </w:rPr>
        <w:t>万元，占</w:t>
      </w:r>
      <w:r>
        <w:rPr>
          <w:rFonts w:hint="eastAsia" w:ascii="仿宋_GB2312" w:eastAsia="仿宋_GB2312"/>
          <w:sz w:val="32"/>
          <w:szCs w:val="32"/>
        </w:rPr>
        <w:t>一般公共预算项目支出总额的</w:t>
      </w:r>
      <w:r>
        <w:rPr>
          <w:rFonts w:hint="eastAsia" w:ascii="仿宋_GB2312" w:eastAsia="仿宋_GB2312"/>
          <w:sz w:val="32"/>
          <w:szCs w:val="32"/>
          <w:lang w:val="en-US" w:eastAsia="zh-CN"/>
        </w:rPr>
        <w:t>100</w:t>
      </w:r>
      <w:r>
        <w:rPr>
          <w:rFonts w:hint="eastAsia" w:ascii="仿宋_GB2312" w:eastAsia="仿宋_GB2312"/>
          <w:sz w:val="32"/>
          <w:szCs w:val="32"/>
        </w:rPr>
        <w:t>%。组织对2019年</w:t>
      </w:r>
      <w:r>
        <w:rPr>
          <w:rFonts w:hint="eastAsia" w:ascii="仿宋_GB2312" w:eastAsia="仿宋_GB2312"/>
          <w:sz w:val="32"/>
          <w:szCs w:val="32"/>
          <w:lang w:val="en-US" w:eastAsia="zh-CN"/>
        </w:rPr>
        <w:t>0</w:t>
      </w:r>
      <w:r>
        <w:rPr>
          <w:rFonts w:hint="eastAsia" w:ascii="仿宋_GB2312" w:eastAsia="仿宋_GB2312"/>
          <w:sz w:val="32"/>
          <w:szCs w:val="32"/>
        </w:rPr>
        <w:t>个政府性基金预算项目支出开展绩效自评，共涉及资金</w:t>
      </w:r>
      <w:r>
        <w:rPr>
          <w:rFonts w:hint="eastAsia" w:ascii="仿宋_GB2312" w:eastAsia="仿宋_GB2312"/>
          <w:sz w:val="32"/>
          <w:szCs w:val="32"/>
          <w:lang w:val="en-US" w:eastAsia="zh-CN"/>
        </w:rPr>
        <w:t>0</w:t>
      </w:r>
      <w:r>
        <w:rPr>
          <w:rFonts w:hint="eastAsia" w:ascii="仿宋_GB2312" w:eastAsia="仿宋_GB2312"/>
          <w:sz w:val="32"/>
          <w:szCs w:val="32"/>
        </w:rPr>
        <w:t>万元，占政府性基金预算项目支出总额的</w:t>
      </w:r>
      <w:r>
        <w:rPr>
          <w:rFonts w:hint="eastAsia" w:ascii="仿宋_GB2312" w:eastAsia="仿宋_GB2312"/>
          <w:sz w:val="32"/>
          <w:szCs w:val="32"/>
          <w:lang w:val="en-US" w:eastAsia="zh-CN"/>
        </w:rPr>
        <w:t>0</w:t>
      </w:r>
      <w:r>
        <w:rPr>
          <w:rFonts w:hint="eastAsia" w:ascii="仿宋_GB2312" w:eastAsia="仿宋_GB2312"/>
          <w:sz w:val="32"/>
          <w:szCs w:val="32"/>
        </w:rPr>
        <w:t>%</w:t>
      </w:r>
    </w:p>
    <w:p>
      <w:pPr>
        <w:pStyle w:val="14"/>
        <w:keepNext w:val="0"/>
        <w:keepLines w:val="0"/>
        <w:widowControl w:val="0"/>
        <w:shd w:val="clear" w:color="auto" w:fill="auto"/>
        <w:bidi w:val="0"/>
        <w:spacing w:before="0" w:after="0" w:line="240" w:lineRule="auto"/>
        <w:ind w:left="0" w:right="0" w:firstLine="680"/>
        <w:jc w:val="left"/>
        <w:rPr>
          <w:sz w:val="30"/>
          <w:szCs w:val="30"/>
        </w:rPr>
      </w:pPr>
      <w:r>
        <w:rPr>
          <w:color w:val="000000"/>
          <w:spacing w:val="0"/>
          <w:w w:val="100"/>
          <w:position w:val="0"/>
          <w:sz w:val="30"/>
          <w:szCs w:val="30"/>
        </w:rPr>
        <w:t>（</w:t>
      </w:r>
      <w:bookmarkEnd w:id="60"/>
      <w:r>
        <w:rPr>
          <w:color w:val="000000"/>
          <w:spacing w:val="0"/>
          <w:w w:val="100"/>
          <w:position w:val="0"/>
          <w:sz w:val="30"/>
          <w:szCs w:val="30"/>
        </w:rPr>
        <w:t>二）部门决算中项目绩效自评结果。</w:t>
      </w:r>
    </w:p>
    <w:p>
      <w:pPr>
        <w:keepNext w:val="0"/>
        <w:keepLines w:val="0"/>
        <w:pageBreakBefore w:val="0"/>
        <w:kinsoku/>
        <w:wordWrap/>
        <w:overflowPunct/>
        <w:topLinePunct w:val="0"/>
        <w:bidi w:val="0"/>
        <w:spacing w:line="560" w:lineRule="exact"/>
        <w:ind w:firstLine="640"/>
        <w:textAlignment w:val="auto"/>
        <w:rPr>
          <w:rFonts w:hint="eastAsia" w:ascii="仿宋_GB2312" w:eastAsia="仿宋_GB2312"/>
          <w:bCs/>
          <w:sz w:val="32"/>
          <w:szCs w:val="32"/>
        </w:rPr>
      </w:pPr>
      <w:bookmarkStart w:id="61" w:name="bookmark91"/>
      <w:r>
        <w:rPr>
          <w:rFonts w:hint="eastAsia" w:ascii="仿宋_GB2312" w:eastAsia="仿宋_GB2312"/>
          <w:bCs/>
          <w:sz w:val="32"/>
          <w:szCs w:val="32"/>
        </w:rPr>
        <w:t>纪检监察、巡察、专项治理、案件查处专项经费项目绩效自评综述：根据年初设定的绩效目标，项目自评得分</w:t>
      </w:r>
      <w:r>
        <w:rPr>
          <w:rFonts w:hint="eastAsia" w:ascii="仿宋_GB2312" w:eastAsia="仿宋_GB2312"/>
          <w:sz w:val="32"/>
          <w:szCs w:val="32"/>
          <w:lang w:val="en-US" w:eastAsia="zh-CN"/>
        </w:rPr>
        <w:t>96</w:t>
      </w:r>
      <w:r>
        <w:rPr>
          <w:rFonts w:hint="eastAsia" w:ascii="仿宋_GB2312" w:eastAsia="仿宋_GB2312"/>
          <w:bCs/>
          <w:sz w:val="32"/>
          <w:szCs w:val="32"/>
        </w:rPr>
        <w:t>分。项目全年预算数</w:t>
      </w:r>
      <w:r>
        <w:rPr>
          <w:rFonts w:hint="eastAsia" w:ascii="仿宋_GB2312" w:eastAsia="仿宋_GB2312"/>
          <w:sz w:val="32"/>
          <w:szCs w:val="32"/>
          <w:lang w:val="en-US" w:eastAsia="zh-CN"/>
        </w:rPr>
        <w:t>104</w:t>
      </w:r>
      <w:r>
        <w:rPr>
          <w:rFonts w:hint="eastAsia" w:ascii="仿宋_GB2312" w:eastAsia="仿宋_GB2312"/>
          <w:bCs/>
          <w:sz w:val="32"/>
          <w:szCs w:val="32"/>
        </w:rPr>
        <w:t>万元，执行数</w:t>
      </w:r>
      <w:r>
        <w:rPr>
          <w:rFonts w:hint="eastAsia" w:ascii="仿宋_GB2312" w:eastAsia="仿宋_GB2312"/>
          <w:sz w:val="32"/>
          <w:szCs w:val="32"/>
          <w:lang w:val="en-US" w:eastAsia="zh-CN"/>
        </w:rPr>
        <w:t>100.46</w:t>
      </w:r>
      <w:r>
        <w:rPr>
          <w:rFonts w:hint="eastAsia" w:ascii="仿宋_GB2312" w:eastAsia="仿宋_GB2312"/>
          <w:bCs/>
          <w:sz w:val="32"/>
          <w:szCs w:val="32"/>
        </w:rPr>
        <w:t>万元，完成预算的</w:t>
      </w:r>
      <w:r>
        <w:rPr>
          <w:rFonts w:hint="eastAsia" w:ascii="仿宋_GB2312" w:eastAsia="仿宋_GB2312"/>
          <w:sz w:val="32"/>
          <w:szCs w:val="32"/>
          <w:lang w:val="en-US" w:eastAsia="zh-CN"/>
        </w:rPr>
        <w:t>96.6</w:t>
      </w:r>
      <w:r>
        <w:rPr>
          <w:rFonts w:hint="eastAsia" w:ascii="仿宋_GB2312" w:eastAsia="仿宋_GB2312"/>
          <w:bCs/>
          <w:sz w:val="32"/>
          <w:szCs w:val="32"/>
        </w:rPr>
        <w:t>%。主要产出和效果：通过项目实施检查和处理党的组织和党员违反党的章程和其他党内法规的比较重要或复杂案件，决定或取消对这些案件中的党员的处分。加强基层党风廉政建设，全力解决发生在群众身边的不正之风和腐败问题。加强体制改革，不断提升监督执纪问责成效；</w:t>
      </w:r>
      <w:r>
        <w:rPr>
          <w:rFonts w:hint="eastAsia" w:ascii="仿宋_GB2312" w:eastAsia="仿宋_GB2312" w:cs="仿宋_GB2312"/>
          <w:sz w:val="32"/>
          <w:szCs w:val="32"/>
          <w:lang w:eastAsia="zh-CN"/>
        </w:rPr>
        <w:t>严格查处违反党纪党规案件，做到有腐必反、有贪必肃</w:t>
      </w:r>
      <w:r>
        <w:rPr>
          <w:rFonts w:hint="eastAsia" w:ascii="仿宋_GB2312" w:eastAsia="仿宋_GB2312"/>
          <w:bCs/>
          <w:sz w:val="32"/>
          <w:szCs w:val="32"/>
        </w:rPr>
        <w:t>。发现的问题及原因：</w:t>
      </w:r>
      <w:r>
        <w:rPr>
          <w:rFonts w:hint="eastAsia" w:ascii="仿宋_GB2312" w:hAnsi="黑体" w:eastAsia="仿宋_GB2312"/>
          <w:sz w:val="32"/>
          <w:szCs w:val="32"/>
        </w:rPr>
        <w:t>项目预算编制细化工作有待加强，项目资金分配管理细化工作有待加强</w:t>
      </w:r>
      <w:r>
        <w:rPr>
          <w:rFonts w:hint="eastAsia" w:ascii="仿宋_GB2312" w:hAnsi="黑体" w:eastAsia="仿宋_GB2312"/>
          <w:sz w:val="32"/>
          <w:szCs w:val="32"/>
          <w:lang w:eastAsia="zh-CN"/>
        </w:rPr>
        <w:t>，主要原因为项目资金分配管理细化程度不够</w:t>
      </w:r>
      <w:r>
        <w:rPr>
          <w:rFonts w:hint="eastAsia" w:ascii="仿宋_GB2312" w:eastAsia="仿宋_GB2312"/>
          <w:bCs/>
          <w:sz w:val="32"/>
          <w:szCs w:val="32"/>
        </w:rPr>
        <w:t>。下一步改进措施：</w:t>
      </w:r>
      <w:r>
        <w:rPr>
          <w:rFonts w:hint="eastAsia" w:ascii="仿宋_GB2312" w:eastAsia="仿宋_GB2312"/>
          <w:sz w:val="32"/>
          <w:szCs w:val="32"/>
        </w:rPr>
        <w:t>加强财务管理，针对专项支出，设置二级明细，为财务管理及后期对比分析提供可靠数据。进一步完善预算编制工作，增强预算的严肃性、准确性和科学性</w:t>
      </w:r>
      <w:r>
        <w:rPr>
          <w:rFonts w:hint="eastAsia" w:ascii="仿宋_GB2312" w:eastAsia="仿宋_GB2312"/>
          <w:bCs/>
          <w:sz w:val="32"/>
          <w:szCs w:val="32"/>
        </w:rPr>
        <w:t>。</w:t>
      </w:r>
    </w:p>
    <w:tbl>
      <w:tblPr>
        <w:tblStyle w:val="5"/>
        <w:tblW w:w="9645" w:type="dxa"/>
        <w:jc w:val="center"/>
        <w:tblLayout w:type="fixed"/>
        <w:tblCellMar>
          <w:top w:w="0" w:type="dxa"/>
          <w:left w:w="108" w:type="dxa"/>
          <w:bottom w:w="0" w:type="dxa"/>
          <w:right w:w="108" w:type="dxa"/>
        </w:tblCellMar>
      </w:tblPr>
      <w:tblGrid>
        <w:gridCol w:w="789"/>
        <w:gridCol w:w="643"/>
        <w:gridCol w:w="720"/>
        <w:gridCol w:w="1823"/>
        <w:gridCol w:w="694"/>
        <w:gridCol w:w="440"/>
        <w:gridCol w:w="718"/>
        <w:gridCol w:w="1267"/>
        <w:gridCol w:w="283"/>
        <w:gridCol w:w="284"/>
        <w:gridCol w:w="425"/>
        <w:gridCol w:w="142"/>
        <w:gridCol w:w="709"/>
        <w:gridCol w:w="708"/>
      </w:tblGrid>
      <w:tr>
        <w:tblPrEx>
          <w:tblCellMar>
            <w:top w:w="0" w:type="dxa"/>
            <w:left w:w="108" w:type="dxa"/>
            <w:bottom w:w="0" w:type="dxa"/>
            <w:right w:w="108" w:type="dxa"/>
          </w:tblCellMar>
        </w:tblPrEx>
        <w:trPr>
          <w:trHeight w:val="462" w:hRule="exac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spacing w:after="0" w:line="320" w:lineRule="exact"/>
              <w:jc w:val="center"/>
              <w:textAlignment w:val="auto"/>
              <w:rPr>
                <w:rFonts w:ascii="宋体" w:hAnsi="宋体" w:eastAsia="宋体" w:cs="宋体"/>
                <w:b/>
                <w:bCs/>
                <w:kern w:val="0"/>
                <w:sz w:val="32"/>
                <w:szCs w:val="32"/>
              </w:rPr>
            </w:pPr>
            <w:r>
              <w:rPr>
                <w:rFonts w:hint="eastAsia" w:ascii="宋体" w:hAnsi="宋体" w:eastAsia="宋体" w:cs="宋体"/>
                <w:b/>
                <w:bCs/>
                <w:kern w:val="0"/>
                <w:sz w:val="32"/>
                <w:szCs w:val="32"/>
              </w:rPr>
              <w:t>项目支出绩效自评表</w:t>
            </w:r>
          </w:p>
        </w:tc>
      </w:tr>
      <w:tr>
        <w:tblPrEx>
          <w:tblCellMar>
            <w:top w:w="0" w:type="dxa"/>
            <w:left w:w="108" w:type="dxa"/>
            <w:bottom w:w="0" w:type="dxa"/>
            <w:right w:w="108" w:type="dxa"/>
          </w:tblCellMar>
        </w:tblPrEx>
        <w:trPr>
          <w:trHeight w:val="409" w:hRule="atLeas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ascii="宋体" w:hAnsi="宋体" w:eastAsia="宋体" w:cs="宋体"/>
                <w:kern w:val="0"/>
                <w:sz w:val="22"/>
              </w:rPr>
            </w:pPr>
            <w:r>
              <w:rPr>
                <w:rFonts w:hint="eastAsia" w:ascii="宋体" w:hAnsi="宋体" w:eastAsia="宋体" w:cs="宋体"/>
                <w:kern w:val="0"/>
                <w:sz w:val="22"/>
              </w:rPr>
              <w:t>（</w:t>
            </w:r>
            <w:r>
              <w:rPr>
                <w:rFonts w:hint="eastAsia" w:ascii="宋体" w:hAnsi="宋体" w:eastAsia="宋体" w:cs="宋体"/>
                <w:kern w:val="0"/>
                <w:sz w:val="22"/>
                <w:lang w:val="en-US" w:eastAsia="zh-CN"/>
              </w:rPr>
              <w:t>2019</w:t>
            </w:r>
            <w:r>
              <w:rPr>
                <w:rFonts w:hint="eastAsia" w:ascii="宋体" w:hAnsi="宋体" w:eastAsia="宋体" w:cs="宋体"/>
                <w:kern w:val="0"/>
                <w:sz w:val="22"/>
              </w:rPr>
              <w:t>年度）</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项目名称</w:t>
            </w:r>
          </w:p>
        </w:tc>
        <w:tc>
          <w:tcPr>
            <w:tcW w:w="8213"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纪检监察、巡察、专项治理、案件查处专项经费</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395"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中共西安市莲湖区纪委</w:t>
            </w:r>
          </w:p>
        </w:tc>
      </w:tr>
      <w:tr>
        <w:tblPrEx>
          <w:tblCellMar>
            <w:top w:w="0" w:type="dxa"/>
            <w:left w:w="108" w:type="dxa"/>
            <w:bottom w:w="0" w:type="dxa"/>
            <w:right w:w="108" w:type="dxa"/>
          </w:tblCellMar>
        </w:tblPrEx>
        <w:trPr>
          <w:trHeight w:val="522" w:hRule="exact"/>
          <w:jc w:val="center"/>
        </w:trPr>
        <w:tc>
          <w:tcPr>
            <w:tcW w:w="143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项目资金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（万元）</w:t>
            </w: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textAlignment w:val="auto"/>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104</w:t>
            </w:r>
          </w:p>
        </w:tc>
        <w:tc>
          <w:tcPr>
            <w:tcW w:w="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104</w:t>
            </w:r>
          </w:p>
        </w:tc>
        <w:tc>
          <w:tcPr>
            <w:tcW w:w="15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100.46</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96.6%</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104</w:t>
            </w:r>
          </w:p>
        </w:tc>
        <w:tc>
          <w:tcPr>
            <w:tcW w:w="7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104</w:t>
            </w:r>
          </w:p>
        </w:tc>
        <w:tc>
          <w:tcPr>
            <w:tcW w:w="155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100.46</w:t>
            </w:r>
          </w:p>
        </w:tc>
        <w:tc>
          <w:tcPr>
            <w:tcW w:w="709"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96.6%</w:t>
            </w:r>
          </w:p>
        </w:tc>
        <w:tc>
          <w:tcPr>
            <w:tcW w:w="70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78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38"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1521" w:hRule="exact"/>
          <w:jc w:val="center"/>
        </w:trPr>
        <w:tc>
          <w:tcPr>
            <w:tcW w:w="78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038"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1160"/>
              </w:tabs>
              <w:kinsoku/>
              <w:wordWrap/>
              <w:overflowPunct/>
              <w:topLinePunct w:val="0"/>
              <w:autoSpaceDE/>
              <w:autoSpaceDN/>
              <w:bidi w:val="0"/>
              <w:spacing w:after="0" w:line="240" w:lineRule="exact"/>
              <w:ind w:firstLine="360" w:firstLineChars="200"/>
              <w:jc w:val="left"/>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检查和处理党的组织和党员违反党的章程和其他党内法规的比较重要或复杂案件，决定或取消对这些案件中的党员的处分。加强基层党风廉政建设，全力解决发生在群众身边的不正之风和腐败问题。加强体制改革，不断提升监督执纪问责成效；指导下级纪检部门开展工作。完成党报党刊征订、购置办公用品、开展巡视巡察等工作。</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ind w:firstLine="360" w:firstLineChars="200"/>
              <w:jc w:val="both"/>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eastAsia="zh-CN"/>
              </w:rPr>
              <w:t>完成</w:t>
            </w:r>
            <w:r>
              <w:rPr>
                <w:rFonts w:hint="eastAsia" w:ascii="宋体" w:hAnsi="宋体" w:eastAsia="宋体" w:cs="宋体"/>
                <w:kern w:val="0"/>
                <w:sz w:val="18"/>
                <w:szCs w:val="18"/>
                <w:lang w:val="en-US" w:eastAsia="zh-CN"/>
              </w:rPr>
              <w:t>2019年度内违纪违法案件的办理工作，根据党风廉政建设要求，监督群众身边的不正之风和腐败问题并予以相应问责。完成第五、第六、第七轮巡察工作，完成党报党刊征订等内部运行工作。</w:t>
            </w:r>
          </w:p>
        </w:tc>
      </w:tr>
      <w:tr>
        <w:tblPrEx>
          <w:tblCellMar>
            <w:top w:w="0" w:type="dxa"/>
            <w:left w:w="108" w:type="dxa"/>
            <w:bottom w:w="0" w:type="dxa"/>
            <w:right w:w="108" w:type="dxa"/>
          </w:tblCellMar>
        </w:tblPrEx>
        <w:trPr>
          <w:trHeight w:val="823" w:hRule="exact"/>
          <w:jc w:val="center"/>
        </w:trPr>
        <w:tc>
          <w:tcPr>
            <w:tcW w:w="78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标</w:t>
            </w: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一级指标</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三级指标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指标值</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j</w:t>
            </w: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产出指标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数量指标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指标1：临时工（司机）人数</w:t>
            </w: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392"/>
              </w:tabs>
              <w:kinsoku/>
              <w:wordWrap/>
              <w:overflowPunct/>
              <w:topLinePunct w:val="0"/>
              <w:autoSpaceDE/>
              <w:autoSpaceDN/>
              <w:bidi w:val="0"/>
              <w:spacing w:after="0" w:line="240" w:lineRule="exact"/>
              <w:jc w:val="left"/>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ab/>
            </w:r>
            <w:r>
              <w:rPr>
                <w:rFonts w:hint="eastAsia" w:ascii="宋体" w:hAnsi="宋体" w:eastAsia="宋体" w:cs="宋体"/>
                <w:kern w:val="0"/>
                <w:sz w:val="18"/>
                <w:szCs w:val="18"/>
                <w:lang w:eastAsia="zh-CN"/>
              </w:rPr>
              <w:t>3人</w:t>
            </w: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3人</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指标2：订党报党刊份数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200份</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200份</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：购置办公用品批次</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≥4批</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4批</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8"/>
                <w:szCs w:val="18"/>
              </w:rPr>
              <w:t>：采购办公设备、家具批次</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≥4批</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4批</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84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5</w:t>
            </w:r>
            <w:r>
              <w:rPr>
                <w:rFonts w:hint="eastAsia" w:ascii="宋体" w:hAnsi="宋体" w:eastAsia="宋体" w:cs="宋体"/>
                <w:color w:val="000000"/>
                <w:kern w:val="0"/>
                <w:sz w:val="18"/>
                <w:szCs w:val="18"/>
              </w:rPr>
              <w:t>：租车次数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highlight w:val="none"/>
              </w:rPr>
            </w:pPr>
            <w:r>
              <w:rPr>
                <w:rFonts w:hint="eastAsia" w:ascii="宋体" w:hAnsi="宋体" w:eastAsia="宋体" w:cs="宋体"/>
                <w:kern w:val="0"/>
                <w:sz w:val="18"/>
                <w:szCs w:val="18"/>
                <w:highlight w:val="none"/>
              </w:rPr>
              <w:t>≥6次</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highlight w:val="none"/>
              </w:rPr>
            </w:pPr>
            <w:r>
              <w:rPr>
                <w:rFonts w:hint="eastAsia" w:ascii="宋体" w:hAnsi="宋体" w:eastAsia="宋体" w:cs="宋体"/>
                <w:kern w:val="0"/>
                <w:sz w:val="18"/>
                <w:szCs w:val="18"/>
                <w:highlight w:val="none"/>
                <w:lang w:val="en-US" w:eastAsia="zh-CN"/>
              </w:rPr>
              <w:t>2</w:t>
            </w:r>
            <w:r>
              <w:rPr>
                <w:rFonts w:hint="eastAsia" w:ascii="宋体" w:hAnsi="宋体" w:eastAsia="宋体" w:cs="宋体"/>
                <w:kern w:val="0"/>
                <w:sz w:val="18"/>
                <w:szCs w:val="18"/>
                <w:highlight w:val="none"/>
              </w:rPr>
              <w:t>次</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180" w:lineRule="exact"/>
              <w:jc w:val="left"/>
              <w:textAlignment w:val="auto"/>
              <w:rPr>
                <w:rFonts w:hint="eastAsia" w:ascii="宋体" w:hAnsi="宋体" w:eastAsia="宋体" w:cs="宋体"/>
                <w:kern w:val="0"/>
                <w:sz w:val="18"/>
                <w:szCs w:val="18"/>
                <w:lang w:eastAsia="zh-CN"/>
              </w:rPr>
            </w:pPr>
            <w:r>
              <w:rPr>
                <w:rFonts w:hint="eastAsia" w:ascii="宋体" w:hAnsi="宋体" w:eastAsia="宋体" w:cs="宋体"/>
                <w:kern w:val="0"/>
                <w:sz w:val="15"/>
                <w:szCs w:val="15"/>
                <w:lang w:eastAsia="zh-CN"/>
              </w:rPr>
              <w:t>案件租车需求降低，需进一步细化预算编制工作，合理安排预算支出。</w:t>
            </w: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6</w:t>
            </w:r>
            <w:r>
              <w:rPr>
                <w:rFonts w:hint="eastAsia" w:ascii="宋体" w:hAnsi="宋体" w:eastAsia="宋体" w:cs="宋体"/>
                <w:color w:val="000000"/>
                <w:kern w:val="0"/>
                <w:sz w:val="18"/>
                <w:szCs w:val="18"/>
              </w:rPr>
              <w:t>：查案住宿及就餐次数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≥6次</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6次</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质量指标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指标1：车辆出勤率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指标2：征订任务完成率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：验收合格率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8"/>
                <w:szCs w:val="18"/>
              </w:rPr>
              <w:t>：政府采购率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5</w:t>
            </w:r>
            <w:r>
              <w:rPr>
                <w:rFonts w:hint="eastAsia" w:ascii="宋体" w:hAnsi="宋体" w:eastAsia="宋体" w:cs="宋体"/>
                <w:color w:val="000000"/>
                <w:kern w:val="0"/>
                <w:sz w:val="18"/>
                <w:szCs w:val="18"/>
              </w:rPr>
              <w:t>：合同执行率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时效指标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指标1：出勤时间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指标2：征订时间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6"/>
                <w:szCs w:val="16"/>
              </w:rPr>
            </w:pPr>
            <w:r>
              <w:rPr>
                <w:rFonts w:hint="eastAsia" w:ascii="宋体" w:hAnsi="宋体" w:eastAsia="宋体" w:cs="宋体"/>
                <w:kern w:val="0"/>
                <w:sz w:val="16"/>
                <w:szCs w:val="16"/>
              </w:rPr>
              <w:t>2019年5月前</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6"/>
                <w:szCs w:val="16"/>
              </w:rPr>
            </w:pPr>
            <w:r>
              <w:rPr>
                <w:rFonts w:hint="eastAsia" w:ascii="宋体" w:hAnsi="宋体" w:eastAsia="宋体" w:cs="宋体"/>
                <w:kern w:val="0"/>
                <w:sz w:val="16"/>
                <w:szCs w:val="16"/>
              </w:rPr>
              <w:t>2019年5月前</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：采购时间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8"/>
                <w:szCs w:val="18"/>
              </w:rPr>
              <w:t>：租车时间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成本指标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指标1：工资薪金</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7万元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7万元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指标2：征订党报党刊费用</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7万元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7万元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：办公用品采购成本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≥12万元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12万元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8"/>
                <w:szCs w:val="18"/>
              </w:rPr>
              <w:t>：</w:t>
            </w:r>
            <w:r>
              <w:rPr>
                <w:rFonts w:hint="eastAsia" w:ascii="宋体" w:hAnsi="宋体" w:eastAsia="宋体" w:cs="宋体"/>
                <w:color w:val="000000"/>
                <w:kern w:val="0"/>
                <w:sz w:val="15"/>
                <w:szCs w:val="15"/>
              </w:rPr>
              <w:t>办公设备、家具采购成本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≥33万元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33万元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81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5</w:t>
            </w:r>
            <w:r>
              <w:rPr>
                <w:rFonts w:hint="eastAsia" w:ascii="宋体" w:hAnsi="宋体" w:eastAsia="宋体" w:cs="宋体"/>
                <w:color w:val="000000"/>
                <w:kern w:val="0"/>
                <w:sz w:val="18"/>
                <w:szCs w:val="18"/>
              </w:rPr>
              <w:t>：租车成本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highlight w:val="none"/>
              </w:rPr>
            </w:pPr>
            <w:r>
              <w:rPr>
                <w:rFonts w:hint="eastAsia" w:ascii="宋体" w:hAnsi="宋体" w:eastAsia="宋体" w:cs="宋体"/>
                <w:kern w:val="0"/>
                <w:sz w:val="18"/>
                <w:szCs w:val="18"/>
                <w:highlight w:val="none"/>
              </w:rPr>
              <w:t>≥5万元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highlight w:val="none"/>
                <w:lang w:val="en-US" w:eastAsia="zh-CN" w:bidi="ar-SA"/>
              </w:rPr>
            </w:pPr>
            <w:r>
              <w:rPr>
                <w:rFonts w:hint="eastAsia" w:ascii="宋体" w:hAnsi="宋体" w:eastAsia="宋体" w:cs="宋体"/>
                <w:kern w:val="0"/>
                <w:sz w:val="18"/>
                <w:szCs w:val="18"/>
                <w:highlight w:val="none"/>
                <w:lang w:val="en-US" w:eastAsia="zh-CN"/>
              </w:rPr>
              <w:t>1.46</w:t>
            </w:r>
            <w:r>
              <w:rPr>
                <w:rFonts w:hint="eastAsia" w:ascii="宋体" w:hAnsi="宋体" w:eastAsia="宋体" w:cs="宋体"/>
                <w:kern w:val="0"/>
                <w:sz w:val="18"/>
                <w:szCs w:val="18"/>
                <w:highlight w:val="none"/>
              </w:rPr>
              <w:t>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180" w:lineRule="exact"/>
              <w:jc w:val="left"/>
              <w:textAlignment w:val="auto"/>
              <w:rPr>
                <w:rFonts w:ascii="宋体" w:hAnsi="宋体" w:eastAsia="宋体" w:cs="宋体"/>
                <w:kern w:val="0"/>
                <w:sz w:val="18"/>
                <w:szCs w:val="18"/>
              </w:rPr>
            </w:pPr>
            <w:r>
              <w:rPr>
                <w:rFonts w:hint="eastAsia" w:ascii="宋体" w:hAnsi="宋体" w:eastAsia="宋体" w:cs="宋体"/>
                <w:kern w:val="0"/>
                <w:sz w:val="15"/>
                <w:szCs w:val="15"/>
                <w:lang w:eastAsia="zh-CN"/>
              </w:rPr>
              <w:t>案件租车需求降低，需进一步细化预算编制工作，合理安排预算支出。</w:t>
            </w:r>
          </w:p>
        </w:tc>
      </w:tr>
      <w:tr>
        <w:tblPrEx>
          <w:tblCellMar>
            <w:top w:w="0" w:type="dxa"/>
            <w:left w:w="108" w:type="dxa"/>
            <w:bottom w:w="0" w:type="dxa"/>
            <w:right w:w="108" w:type="dxa"/>
          </w:tblCellMar>
        </w:tblPrEx>
        <w:trPr>
          <w:trHeight w:val="43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6</w:t>
            </w:r>
            <w:r>
              <w:rPr>
                <w:rFonts w:hint="eastAsia" w:ascii="宋体" w:hAnsi="宋体" w:eastAsia="宋体" w:cs="宋体"/>
                <w:color w:val="000000"/>
                <w:kern w:val="0"/>
                <w:sz w:val="18"/>
                <w:szCs w:val="18"/>
              </w:rPr>
              <w:t>：查案住宿及餐饮成本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≥42万元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42万元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0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效益指标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r>
              <w:rPr>
                <w:rFonts w:hint="eastAsia" w:ascii="宋体" w:hAnsi="宋体" w:eastAsia="宋体" w:cs="宋体"/>
                <w:kern w:val="0"/>
                <w:sz w:val="15"/>
                <w:szCs w:val="15"/>
              </w:rPr>
              <w:t>经济效益指标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724"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r>
              <w:rPr>
                <w:rFonts w:hint="eastAsia" w:ascii="宋体" w:hAnsi="宋体" w:eastAsia="宋体" w:cs="宋体"/>
                <w:kern w:val="0"/>
                <w:sz w:val="18"/>
                <w:szCs w:val="18"/>
              </w:rPr>
              <w:t>社会效益指标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指标1：查处违反党纪党规案件</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6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生态效益</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86"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6"/>
                <w:szCs w:val="16"/>
              </w:rPr>
              <w:t>可持续影响指标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指标1：执行年度</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长期</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长期</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0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84"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满意度指标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3"/>
                <w:szCs w:val="13"/>
                <w:lang w:val="en-US" w:eastAsia="zh-CN"/>
              </w:rPr>
            </w:pPr>
            <w:r>
              <w:rPr>
                <w:rFonts w:hint="eastAsia" w:ascii="宋体" w:hAnsi="宋体" w:eastAsia="宋体" w:cs="宋体"/>
                <w:kern w:val="0"/>
                <w:sz w:val="18"/>
                <w:szCs w:val="18"/>
                <w:lang w:val="en-US" w:eastAsia="zh-CN"/>
              </w:rPr>
              <w:t>10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6"/>
                <w:szCs w:val="16"/>
              </w:rPr>
              <w:t>服务对象满意度指标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指标1：政府满意度  </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44"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700" w:hRule="exact"/>
          <w:jc w:val="center"/>
        </w:trPr>
        <w:tc>
          <w:tcPr>
            <w:tcW w:w="709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96</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bl>
    <w:p>
      <w:pPr>
        <w:keepNext w:val="0"/>
        <w:keepLines w:val="0"/>
        <w:pageBreakBefore w:val="0"/>
        <w:kinsoku/>
        <w:wordWrap/>
        <w:overflowPunct/>
        <w:topLinePunct w:val="0"/>
        <w:bidi w:val="0"/>
        <w:spacing w:line="560" w:lineRule="exact"/>
        <w:ind w:firstLine="640"/>
        <w:textAlignment w:val="auto"/>
        <w:rPr>
          <w:rFonts w:hint="eastAsia" w:ascii="仿宋_GB2312" w:eastAsia="仿宋_GB2312"/>
          <w:bCs/>
          <w:sz w:val="32"/>
          <w:szCs w:val="32"/>
        </w:rPr>
      </w:pPr>
      <w:r>
        <w:rPr>
          <w:rFonts w:hint="eastAsia" w:ascii="仿宋_GB2312" w:eastAsia="仿宋_GB2312"/>
          <w:bCs/>
          <w:sz w:val="32"/>
          <w:szCs w:val="32"/>
        </w:rPr>
        <w:t>区纪委全会、其他业务会等会议及宣传教育培训工作经费项目绩效自评综述：根据年初设定的绩效目标，项目自评得分</w:t>
      </w:r>
      <w:r>
        <w:rPr>
          <w:rFonts w:hint="eastAsia" w:ascii="仿宋_GB2312" w:eastAsia="仿宋_GB2312"/>
          <w:sz w:val="32"/>
          <w:szCs w:val="32"/>
          <w:lang w:val="en-US" w:eastAsia="zh-CN"/>
        </w:rPr>
        <w:t>96</w:t>
      </w:r>
      <w:r>
        <w:rPr>
          <w:rFonts w:hint="eastAsia" w:ascii="仿宋_GB2312" w:eastAsia="仿宋_GB2312"/>
          <w:bCs/>
          <w:sz w:val="32"/>
          <w:szCs w:val="32"/>
        </w:rPr>
        <w:t>分。项目全年预算数</w:t>
      </w:r>
      <w:r>
        <w:rPr>
          <w:rFonts w:hint="eastAsia" w:ascii="仿宋_GB2312" w:eastAsia="仿宋_GB2312"/>
          <w:sz w:val="32"/>
          <w:szCs w:val="32"/>
          <w:lang w:val="en-US" w:eastAsia="zh-CN"/>
        </w:rPr>
        <w:t>25</w:t>
      </w:r>
      <w:r>
        <w:rPr>
          <w:rFonts w:hint="eastAsia" w:ascii="仿宋_GB2312" w:eastAsia="仿宋_GB2312"/>
          <w:bCs/>
          <w:sz w:val="32"/>
          <w:szCs w:val="32"/>
        </w:rPr>
        <w:t>万元，执行数</w:t>
      </w:r>
      <w:r>
        <w:rPr>
          <w:rFonts w:hint="eastAsia" w:ascii="仿宋_GB2312" w:eastAsia="仿宋_GB2312"/>
          <w:sz w:val="32"/>
          <w:szCs w:val="32"/>
          <w:lang w:val="en-US" w:eastAsia="zh-CN"/>
        </w:rPr>
        <w:t>16.06</w:t>
      </w:r>
      <w:r>
        <w:rPr>
          <w:rFonts w:hint="eastAsia" w:ascii="仿宋_GB2312" w:eastAsia="仿宋_GB2312"/>
          <w:bCs/>
          <w:sz w:val="32"/>
          <w:szCs w:val="32"/>
        </w:rPr>
        <w:t>万元，完成预算的</w:t>
      </w:r>
      <w:r>
        <w:rPr>
          <w:rFonts w:hint="eastAsia" w:ascii="仿宋_GB2312" w:eastAsia="仿宋_GB2312"/>
          <w:sz w:val="32"/>
          <w:szCs w:val="32"/>
          <w:lang w:val="en-US" w:eastAsia="zh-CN"/>
        </w:rPr>
        <w:t>64.24</w:t>
      </w:r>
      <w:r>
        <w:rPr>
          <w:rFonts w:hint="eastAsia" w:ascii="仿宋_GB2312" w:eastAsia="仿宋_GB2312"/>
          <w:bCs/>
          <w:sz w:val="32"/>
          <w:szCs w:val="32"/>
        </w:rPr>
        <w:t>%。主要产出和效果：根据要求召开区纪委第十三届第四次全会、全区纪检监察工作会议、审查调查会等会议，印制会议材料等文件；组织开展纪检监察系统全体干部业务培训，聘请讲师，提升纪检监察业务水平；印制宣传资料，加强纪检监察知识、党纪党规、相关法律的宣传。发现的问题及原因：</w:t>
      </w:r>
      <w:r>
        <w:rPr>
          <w:rFonts w:hint="eastAsia" w:ascii="仿宋_GB2312" w:hAnsi="黑体" w:eastAsia="仿宋_GB2312"/>
          <w:sz w:val="32"/>
          <w:szCs w:val="32"/>
        </w:rPr>
        <w:t>项目预算编制细化工作有待加强，项目资金分配管理细化工作有待加强</w:t>
      </w:r>
      <w:r>
        <w:rPr>
          <w:rFonts w:hint="eastAsia" w:ascii="仿宋_GB2312" w:hAnsi="黑体" w:eastAsia="仿宋_GB2312"/>
          <w:sz w:val="32"/>
          <w:szCs w:val="32"/>
          <w:lang w:eastAsia="zh-CN"/>
        </w:rPr>
        <w:t>，主要原因为项目资金分配管理细化程度不够</w:t>
      </w:r>
      <w:r>
        <w:rPr>
          <w:rFonts w:hint="eastAsia" w:ascii="仿宋_GB2312" w:eastAsia="仿宋_GB2312"/>
          <w:bCs/>
          <w:sz w:val="32"/>
          <w:szCs w:val="32"/>
        </w:rPr>
        <w:t>。下一步改进措施：</w:t>
      </w:r>
      <w:r>
        <w:rPr>
          <w:rFonts w:hint="eastAsia" w:ascii="仿宋_GB2312" w:eastAsia="仿宋_GB2312"/>
          <w:sz w:val="32"/>
          <w:szCs w:val="32"/>
        </w:rPr>
        <w:t>加强财务管理，针对专项支出，设置二级明细，为财务管理及后期对比分析提供可靠数据。进一步完善预算编制工作，增强预算的严肃性、准确性和科学性。</w:t>
      </w:r>
    </w:p>
    <w:tbl>
      <w:tblPr>
        <w:tblStyle w:val="5"/>
        <w:tblW w:w="9645" w:type="dxa"/>
        <w:jc w:val="center"/>
        <w:tblLayout w:type="fixed"/>
        <w:tblCellMar>
          <w:top w:w="0" w:type="dxa"/>
          <w:left w:w="108" w:type="dxa"/>
          <w:bottom w:w="0" w:type="dxa"/>
          <w:right w:w="108" w:type="dxa"/>
        </w:tblCellMar>
      </w:tblPr>
      <w:tblGrid>
        <w:gridCol w:w="789"/>
        <w:gridCol w:w="643"/>
        <w:gridCol w:w="720"/>
        <w:gridCol w:w="1823"/>
        <w:gridCol w:w="694"/>
        <w:gridCol w:w="440"/>
        <w:gridCol w:w="718"/>
        <w:gridCol w:w="1267"/>
        <w:gridCol w:w="283"/>
        <w:gridCol w:w="284"/>
        <w:gridCol w:w="425"/>
        <w:gridCol w:w="142"/>
        <w:gridCol w:w="709"/>
        <w:gridCol w:w="708"/>
      </w:tblGrid>
      <w:tr>
        <w:tblPrEx>
          <w:tblCellMar>
            <w:top w:w="0" w:type="dxa"/>
            <w:left w:w="108" w:type="dxa"/>
            <w:bottom w:w="0" w:type="dxa"/>
            <w:right w:w="108" w:type="dxa"/>
          </w:tblCellMar>
        </w:tblPrEx>
        <w:trPr>
          <w:trHeight w:val="462" w:hRule="exac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360" w:lineRule="exact"/>
              <w:jc w:val="center"/>
              <w:textAlignment w:val="auto"/>
              <w:rPr>
                <w:rFonts w:ascii="宋体" w:hAnsi="宋体" w:eastAsia="宋体" w:cs="宋体"/>
                <w:b/>
                <w:bCs/>
                <w:kern w:val="0"/>
                <w:sz w:val="32"/>
                <w:szCs w:val="32"/>
              </w:rPr>
            </w:pPr>
            <w:r>
              <w:rPr>
                <w:rFonts w:hint="eastAsia" w:ascii="宋体" w:hAnsi="宋体" w:eastAsia="宋体" w:cs="宋体"/>
                <w:b/>
                <w:bCs/>
                <w:kern w:val="0"/>
                <w:sz w:val="32"/>
                <w:szCs w:val="32"/>
              </w:rPr>
              <w:t>项目支出绩效自评表</w:t>
            </w:r>
          </w:p>
        </w:tc>
      </w:tr>
      <w:tr>
        <w:tblPrEx>
          <w:tblCellMar>
            <w:top w:w="0" w:type="dxa"/>
            <w:left w:w="108" w:type="dxa"/>
            <w:bottom w:w="0" w:type="dxa"/>
            <w:right w:w="108" w:type="dxa"/>
          </w:tblCellMar>
        </w:tblPrEx>
        <w:trPr>
          <w:trHeight w:val="409" w:hRule="atLeas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2"/>
              </w:rPr>
            </w:pPr>
            <w:r>
              <w:rPr>
                <w:rFonts w:hint="eastAsia" w:ascii="宋体" w:hAnsi="宋体" w:eastAsia="宋体" w:cs="宋体"/>
                <w:kern w:val="0"/>
                <w:sz w:val="22"/>
              </w:rPr>
              <w:t>（</w:t>
            </w:r>
            <w:r>
              <w:rPr>
                <w:rFonts w:hint="eastAsia" w:ascii="宋体" w:hAnsi="宋体" w:eastAsia="宋体" w:cs="宋体"/>
                <w:kern w:val="0"/>
                <w:sz w:val="22"/>
                <w:lang w:val="en-US" w:eastAsia="zh-CN"/>
              </w:rPr>
              <w:t>2019</w:t>
            </w:r>
            <w:r>
              <w:rPr>
                <w:rFonts w:hint="eastAsia" w:ascii="宋体" w:hAnsi="宋体" w:eastAsia="宋体" w:cs="宋体"/>
                <w:kern w:val="0"/>
                <w:sz w:val="22"/>
              </w:rPr>
              <w:t>年度）</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项目名称</w:t>
            </w:r>
          </w:p>
        </w:tc>
        <w:tc>
          <w:tcPr>
            <w:tcW w:w="8213"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区纪委全会、其他业务会等会议及宣传教育培训工作经费</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395"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中共西安市莲湖区纪委</w:t>
            </w:r>
          </w:p>
        </w:tc>
      </w:tr>
      <w:tr>
        <w:tblPrEx>
          <w:tblCellMar>
            <w:top w:w="0" w:type="dxa"/>
            <w:left w:w="108" w:type="dxa"/>
            <w:bottom w:w="0" w:type="dxa"/>
            <w:right w:w="108" w:type="dxa"/>
          </w:tblCellMar>
        </w:tblPrEx>
        <w:trPr>
          <w:trHeight w:val="522" w:hRule="exact"/>
          <w:jc w:val="center"/>
        </w:trPr>
        <w:tc>
          <w:tcPr>
            <w:tcW w:w="143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项目资金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（万元）</w:t>
            </w: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textAlignment w:val="auto"/>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16.06</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64.24%</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16.06</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64.24%</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519" w:hRule="exact"/>
          <w:jc w:val="center"/>
        </w:trPr>
        <w:tc>
          <w:tcPr>
            <w:tcW w:w="78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3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2036"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03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1160"/>
              </w:tabs>
              <w:kinsoku/>
              <w:wordWrap/>
              <w:overflowPunct/>
              <w:topLinePunct w:val="0"/>
              <w:autoSpaceDE/>
              <w:autoSpaceDN/>
              <w:bidi w:val="0"/>
              <w:spacing w:after="0" w:line="240" w:lineRule="exact"/>
              <w:ind w:firstLine="360" w:firstLineChars="200"/>
              <w:jc w:val="left"/>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完成区纪委第十三届委员会第四次全会、全区纪检监察会议、案件审查调查会等会议的筹备召开工作；组织开展纪检监察系统全体干部业务培训，提升纪检监察业务水平；利用官网、公众号、微博、</w:t>
            </w:r>
            <w:r>
              <w:rPr>
                <w:rFonts w:hint="eastAsia" w:ascii="宋体" w:hAnsi="宋体" w:eastAsia="宋体" w:cs="宋体"/>
                <w:kern w:val="0"/>
                <w:sz w:val="18"/>
                <w:szCs w:val="18"/>
                <w:lang w:val="en-US" w:eastAsia="zh-CN"/>
              </w:rPr>
              <w:t>QQ</w:t>
            </w:r>
            <w:r>
              <w:rPr>
                <w:rFonts w:hint="eastAsia" w:ascii="宋体" w:hAnsi="宋体" w:eastAsia="宋体" w:cs="宋体"/>
                <w:kern w:val="0"/>
                <w:sz w:val="18"/>
                <w:szCs w:val="18"/>
                <w:lang w:eastAsia="zh-CN"/>
              </w:rPr>
              <w:t>等平台宣传纪检监察知识，提升党规党纪、相关法律的知晓度。</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ind w:firstLine="360" w:firstLineChars="200"/>
              <w:jc w:val="both"/>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经过缜密的筹备，区纪委第十三届委员会第四次全会于2019年2月12日顺利召开，完成了2018年工作总结和2019年工作安排；根据纪检监察工作需要，完成了一次针对纪检系统全体干部的业务培训，聘请党校老师、市纪委领导授课，提升了业务能力。同时，利用展板、海报等形式完成了扫黑除恶政策的宣传，助力扫黑除恶等专项工作的开展。</w:t>
            </w:r>
          </w:p>
        </w:tc>
      </w:tr>
      <w:tr>
        <w:tblPrEx>
          <w:tblCellMar>
            <w:top w:w="0" w:type="dxa"/>
            <w:left w:w="108" w:type="dxa"/>
            <w:bottom w:w="0" w:type="dxa"/>
            <w:right w:w="108" w:type="dxa"/>
          </w:tblCellMar>
        </w:tblPrEx>
        <w:trPr>
          <w:trHeight w:val="533" w:hRule="exact"/>
          <w:jc w:val="center"/>
        </w:trPr>
        <w:tc>
          <w:tcPr>
            <w:tcW w:w="78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标</w:t>
            </w: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一级指标</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三级指标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指标值</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52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j</w:t>
            </w: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产出指标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数量指标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指标1：印制全会报告等会议资料份数</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392"/>
              </w:tabs>
              <w:kinsoku/>
              <w:wordWrap/>
              <w:overflowPunct/>
              <w:topLinePunct w:val="0"/>
              <w:autoSpaceDE/>
              <w:autoSpaceDN/>
              <w:bidi w:val="0"/>
              <w:spacing w:after="0" w:line="240" w:lineRule="exact"/>
              <w:jc w:val="left"/>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≥2000份</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2000份</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指标2：印制培训资料份数</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100份</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100份</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：聘请培训讲师次数</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1次</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1次</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28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8"/>
                <w:szCs w:val="18"/>
              </w:rPr>
              <w:t>：培训住宿及就餐次数</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lang w:val="en-US" w:eastAsia="zh-CN"/>
              </w:rPr>
              <w:t>1次</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1次</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915"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5</w:t>
            </w:r>
            <w:r>
              <w:rPr>
                <w:rFonts w:hint="eastAsia" w:ascii="宋体" w:hAnsi="宋体" w:eastAsia="宋体" w:cs="宋体"/>
                <w:color w:val="000000"/>
                <w:kern w:val="0"/>
                <w:sz w:val="18"/>
                <w:szCs w:val="18"/>
              </w:rPr>
              <w:t>：培训乘车次数</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ascii="宋体" w:hAnsi="宋体" w:eastAsia="宋体" w:cs="宋体"/>
                <w:kern w:val="0"/>
                <w:sz w:val="18"/>
                <w:szCs w:val="18"/>
                <w:highlight w:val="none"/>
              </w:rPr>
            </w:pPr>
            <w:r>
              <w:rPr>
                <w:rFonts w:hint="eastAsia" w:ascii="宋体" w:hAnsi="宋体" w:eastAsia="宋体" w:cs="宋体"/>
                <w:kern w:val="0"/>
                <w:sz w:val="18"/>
                <w:szCs w:val="18"/>
                <w:highlight w:val="none"/>
                <w:lang w:eastAsia="zh-CN"/>
              </w:rPr>
              <w:t>≥</w:t>
            </w:r>
            <w:r>
              <w:rPr>
                <w:rFonts w:hint="eastAsia" w:ascii="宋体" w:hAnsi="宋体" w:eastAsia="宋体" w:cs="宋体"/>
                <w:kern w:val="0"/>
                <w:sz w:val="18"/>
                <w:szCs w:val="18"/>
                <w:highlight w:val="none"/>
                <w:lang w:val="en-US" w:eastAsia="zh-CN"/>
              </w:rPr>
              <w:t>1</w:t>
            </w:r>
            <w:r>
              <w:rPr>
                <w:rFonts w:hint="eastAsia" w:ascii="宋体" w:hAnsi="宋体" w:eastAsia="宋体" w:cs="宋体"/>
                <w:kern w:val="0"/>
                <w:sz w:val="18"/>
                <w:szCs w:val="18"/>
                <w:highlight w:val="none"/>
              </w:rPr>
              <w:t>次</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shd w:val="clear" w:color="auto" w:fill="auto"/>
                <w:lang w:val="en-US" w:eastAsia="zh-CN"/>
              </w:rPr>
              <w:t>1次</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180" w:lineRule="exact"/>
              <w:jc w:val="left"/>
              <w:textAlignment w:val="auto"/>
              <w:rPr>
                <w:rFonts w:hint="eastAsia" w:ascii="宋体" w:hAnsi="宋体" w:eastAsia="宋体" w:cs="宋体"/>
                <w:kern w:val="0"/>
                <w:sz w:val="18"/>
                <w:szCs w:val="18"/>
                <w:lang w:eastAsia="zh-CN"/>
              </w:rPr>
            </w:pPr>
            <w:r>
              <w:rPr>
                <w:rFonts w:hint="eastAsia" w:ascii="宋体" w:hAnsi="宋体" w:eastAsia="宋体" w:cs="宋体"/>
                <w:kern w:val="0"/>
                <w:sz w:val="15"/>
                <w:szCs w:val="15"/>
                <w:lang w:eastAsia="zh-CN"/>
              </w:rPr>
              <w:t>未组织涉外培训项目。外出培训多为参加省市组织的相关培训。丰富培训方式。</w:t>
            </w: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6</w:t>
            </w:r>
            <w:r>
              <w:rPr>
                <w:rFonts w:hint="eastAsia" w:ascii="宋体" w:hAnsi="宋体" w:eastAsia="宋体" w:cs="宋体"/>
                <w:color w:val="000000"/>
                <w:kern w:val="0"/>
                <w:sz w:val="18"/>
                <w:szCs w:val="18"/>
              </w:rPr>
              <w:t>：宣传资料印制份数</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50000份</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50000份</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3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质量指标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指标1：验收合格率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49"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指标2：授课合格率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61"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：文件执行率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5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时效指标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指标1：会议召开时间</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26"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指标2：培训时间</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6"/>
                <w:szCs w:val="16"/>
              </w:rPr>
            </w:pPr>
            <w:r>
              <w:rPr>
                <w:rFonts w:hint="eastAsia" w:ascii="宋体" w:hAnsi="宋体" w:eastAsia="宋体" w:cs="宋体"/>
                <w:kern w:val="0"/>
                <w:sz w:val="16"/>
                <w:szCs w:val="16"/>
              </w:rPr>
              <w:t>2019年度</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6"/>
                <w:szCs w:val="16"/>
              </w:rPr>
            </w:pPr>
            <w:r>
              <w:rPr>
                <w:rFonts w:hint="eastAsia" w:ascii="宋体" w:hAnsi="宋体" w:eastAsia="宋体" w:cs="宋体"/>
                <w:kern w:val="0"/>
                <w:sz w:val="16"/>
                <w:szCs w:val="16"/>
              </w:rPr>
              <w:t>2019年度</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7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：宣传教育时间</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3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成本指标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指标1：印制全会报告等会议资料成本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3万元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w:t>
            </w:r>
            <w:r>
              <w:rPr>
                <w:rFonts w:hint="eastAsia" w:ascii="宋体" w:hAnsi="宋体" w:eastAsia="宋体" w:cs="宋体"/>
                <w:kern w:val="0"/>
                <w:sz w:val="18"/>
                <w:szCs w:val="18"/>
              </w:rPr>
              <w:t>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指标2：印制培训资料成本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1万元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1万元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：聘请培训讲师成本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1万元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1万元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734"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8"/>
                <w:szCs w:val="18"/>
              </w:rPr>
              <w:t>：培训住宿及就餐成本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12万元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8.06万元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00" w:lineRule="exact"/>
              <w:jc w:val="both"/>
              <w:textAlignment w:val="auto"/>
              <w:rPr>
                <w:rFonts w:hint="eastAsia" w:ascii="宋体" w:hAnsi="宋体" w:eastAsia="宋体" w:cs="宋体"/>
                <w:kern w:val="0"/>
                <w:sz w:val="13"/>
                <w:szCs w:val="13"/>
                <w:lang w:eastAsia="zh-CN"/>
              </w:rPr>
            </w:pPr>
            <w:r>
              <w:rPr>
                <w:rFonts w:hint="eastAsia" w:ascii="宋体" w:hAnsi="宋体" w:eastAsia="宋体" w:cs="宋体"/>
                <w:kern w:val="0"/>
                <w:sz w:val="15"/>
                <w:szCs w:val="15"/>
                <w:lang w:eastAsia="zh-CN"/>
              </w:rPr>
              <w:t>未组织全员外出培训，创新培训方式，丰富培训内容。</w:t>
            </w: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5</w:t>
            </w:r>
            <w:r>
              <w:rPr>
                <w:rFonts w:hint="eastAsia" w:ascii="宋体" w:hAnsi="宋体" w:eastAsia="宋体" w:cs="宋体"/>
                <w:color w:val="000000"/>
                <w:kern w:val="0"/>
                <w:sz w:val="18"/>
                <w:szCs w:val="18"/>
              </w:rPr>
              <w:t>：培训乘车成本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highlight w:val="none"/>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highlight w:val="none"/>
              </w:rPr>
              <w:t>1万元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highlight w:val="none"/>
                <w:lang w:val="en-US" w:eastAsia="zh-CN" w:bidi="ar-SA"/>
              </w:rPr>
            </w:pPr>
            <w:r>
              <w:rPr>
                <w:rFonts w:hint="eastAsia" w:ascii="宋体" w:hAnsi="宋体" w:eastAsia="宋体" w:cs="宋体"/>
                <w:kern w:val="0"/>
                <w:sz w:val="18"/>
                <w:szCs w:val="18"/>
                <w:highlight w:val="none"/>
                <w:lang w:val="en-US" w:eastAsia="zh-CN" w:bidi="ar-SA"/>
              </w:rPr>
              <w:t>1万元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180" w:lineRule="exact"/>
              <w:jc w:val="left"/>
              <w:textAlignment w:val="auto"/>
              <w:rPr>
                <w:rFonts w:ascii="宋体" w:hAnsi="宋体" w:eastAsia="宋体" w:cs="宋体"/>
                <w:kern w:val="0"/>
                <w:sz w:val="13"/>
                <w:szCs w:val="13"/>
              </w:rPr>
            </w:pPr>
          </w:p>
        </w:tc>
      </w:tr>
      <w:tr>
        <w:tblPrEx>
          <w:tblCellMar>
            <w:top w:w="0" w:type="dxa"/>
            <w:left w:w="108" w:type="dxa"/>
            <w:bottom w:w="0" w:type="dxa"/>
            <w:right w:w="108" w:type="dxa"/>
          </w:tblCellMar>
        </w:tblPrEx>
        <w:trPr>
          <w:trHeight w:val="63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6</w:t>
            </w:r>
            <w:r>
              <w:rPr>
                <w:rFonts w:hint="eastAsia" w:ascii="宋体" w:hAnsi="宋体" w:eastAsia="宋体" w:cs="宋体"/>
                <w:color w:val="000000"/>
                <w:kern w:val="0"/>
                <w:sz w:val="18"/>
                <w:szCs w:val="18"/>
              </w:rPr>
              <w:t>：宣传资料印制成本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7万元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2万元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180" w:lineRule="exact"/>
              <w:jc w:val="center"/>
              <w:textAlignment w:val="auto"/>
              <w:rPr>
                <w:rFonts w:hint="eastAsia" w:ascii="宋体" w:hAnsi="宋体" w:eastAsia="宋体" w:cs="宋体"/>
                <w:kern w:val="0"/>
                <w:sz w:val="18"/>
                <w:szCs w:val="18"/>
                <w:lang w:eastAsia="zh-CN"/>
              </w:rPr>
            </w:pPr>
            <w:r>
              <w:rPr>
                <w:rFonts w:hint="eastAsia" w:ascii="宋体" w:hAnsi="宋体" w:eastAsia="宋体" w:cs="宋体"/>
                <w:kern w:val="0"/>
                <w:sz w:val="15"/>
                <w:szCs w:val="15"/>
                <w:lang w:eastAsia="zh-CN"/>
              </w:rPr>
              <w:t>宣传资料印制需要增多，加强宣传力度，创新宣传方式。</w:t>
            </w:r>
          </w:p>
        </w:tc>
      </w:tr>
      <w:tr>
        <w:tblPrEx>
          <w:tblCellMar>
            <w:top w:w="0" w:type="dxa"/>
            <w:left w:w="108" w:type="dxa"/>
            <w:bottom w:w="0" w:type="dxa"/>
            <w:right w:w="108" w:type="dxa"/>
          </w:tblCellMar>
        </w:tblPrEx>
        <w:trPr>
          <w:trHeight w:val="34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效益指标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r>
              <w:rPr>
                <w:rFonts w:hint="eastAsia" w:ascii="宋体" w:hAnsi="宋体" w:eastAsia="宋体" w:cs="宋体"/>
                <w:kern w:val="0"/>
                <w:sz w:val="15"/>
                <w:szCs w:val="15"/>
              </w:rPr>
              <w:t>经济效益指标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9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639"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r>
              <w:rPr>
                <w:rFonts w:hint="eastAsia" w:ascii="宋体" w:hAnsi="宋体" w:eastAsia="宋体" w:cs="宋体"/>
                <w:kern w:val="0"/>
                <w:sz w:val="18"/>
                <w:szCs w:val="18"/>
              </w:rPr>
              <w:t>社会效益指标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指标1：保障纪检监察工作正常安排执行。</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74"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指标2：提升纪检监察系统干部业务水平。</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2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指标3：宣传党纪党规覆盖率。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rPr>
              <w:t>95%</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6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生态效益</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8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36"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6"/>
                <w:szCs w:val="16"/>
              </w:rPr>
              <w:t>可持续影响指标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指标1：执行年度</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长期</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长期</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31"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0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满意度指标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3"/>
                <w:szCs w:val="13"/>
                <w:lang w:val="en-US" w:eastAsia="zh-CN"/>
              </w:rPr>
            </w:pPr>
            <w:r>
              <w:rPr>
                <w:rFonts w:hint="eastAsia" w:ascii="宋体" w:hAnsi="宋体" w:eastAsia="宋体" w:cs="宋体"/>
                <w:kern w:val="0"/>
                <w:sz w:val="18"/>
                <w:szCs w:val="18"/>
                <w:lang w:val="en-US" w:eastAsia="zh-CN"/>
              </w:rPr>
              <w:t>10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6"/>
                <w:szCs w:val="16"/>
              </w:rPr>
              <w:t>服务对象满意度指标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指标1：政府满意度  </w:t>
            </w: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88" w:hRule="exact"/>
          <w:jc w:val="center"/>
        </w:trPr>
        <w:tc>
          <w:tcPr>
            <w:tcW w:w="709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96</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bl>
    <w:p>
      <w:pPr>
        <w:keepNext w:val="0"/>
        <w:keepLines w:val="0"/>
        <w:pageBreakBefore w:val="0"/>
        <w:kinsoku/>
        <w:wordWrap/>
        <w:overflowPunct/>
        <w:topLinePunct w:val="0"/>
        <w:bidi w:val="0"/>
        <w:spacing w:line="560" w:lineRule="exact"/>
        <w:ind w:firstLine="640"/>
        <w:textAlignment w:val="auto"/>
        <w:rPr>
          <w:rFonts w:hint="eastAsia" w:ascii="仿宋_GB2312" w:eastAsia="仿宋_GB2312"/>
          <w:bCs/>
          <w:sz w:val="32"/>
          <w:szCs w:val="32"/>
        </w:rPr>
      </w:pPr>
      <w:r>
        <w:rPr>
          <w:rFonts w:hint="eastAsia" w:ascii="仿宋_GB2312" w:eastAsia="仿宋_GB2312"/>
          <w:bCs/>
          <w:sz w:val="32"/>
          <w:szCs w:val="32"/>
        </w:rPr>
        <w:t>信息化网络平台建设及维护费项目绩效自评综述：根据年初设定的绩效目标，项目自评得分</w:t>
      </w:r>
      <w:r>
        <w:rPr>
          <w:rFonts w:hint="eastAsia" w:ascii="仿宋_GB2312" w:eastAsia="仿宋_GB2312"/>
          <w:sz w:val="32"/>
          <w:szCs w:val="32"/>
          <w:lang w:val="en-US" w:eastAsia="zh-CN"/>
        </w:rPr>
        <w:t>91</w:t>
      </w:r>
      <w:r>
        <w:rPr>
          <w:rFonts w:hint="eastAsia" w:ascii="仿宋_GB2312" w:eastAsia="仿宋_GB2312"/>
          <w:bCs/>
          <w:sz w:val="32"/>
          <w:szCs w:val="32"/>
        </w:rPr>
        <w:t>分。项目全年预算数</w:t>
      </w:r>
      <w:r>
        <w:rPr>
          <w:rFonts w:hint="eastAsia" w:ascii="仿宋_GB2312" w:eastAsia="仿宋_GB2312"/>
          <w:sz w:val="32"/>
          <w:szCs w:val="32"/>
          <w:lang w:val="en-US" w:eastAsia="zh-CN"/>
        </w:rPr>
        <w:t>6</w:t>
      </w:r>
      <w:r>
        <w:rPr>
          <w:rFonts w:hint="eastAsia" w:ascii="仿宋_GB2312" w:eastAsia="仿宋_GB2312"/>
          <w:bCs/>
          <w:sz w:val="32"/>
          <w:szCs w:val="32"/>
        </w:rPr>
        <w:t>万元，执行数</w:t>
      </w:r>
      <w:r>
        <w:rPr>
          <w:rFonts w:hint="eastAsia" w:ascii="仿宋_GB2312" w:eastAsia="仿宋_GB2312"/>
          <w:sz w:val="32"/>
          <w:szCs w:val="32"/>
          <w:lang w:val="en-US" w:eastAsia="zh-CN"/>
        </w:rPr>
        <w:t>2.08</w:t>
      </w:r>
      <w:r>
        <w:rPr>
          <w:rFonts w:hint="eastAsia" w:ascii="仿宋_GB2312" w:eastAsia="仿宋_GB2312"/>
          <w:bCs/>
          <w:sz w:val="32"/>
          <w:szCs w:val="32"/>
        </w:rPr>
        <w:t>万元，完成预算的</w:t>
      </w:r>
      <w:r>
        <w:rPr>
          <w:rFonts w:hint="eastAsia" w:ascii="仿宋_GB2312" w:eastAsia="仿宋_GB2312"/>
          <w:sz w:val="32"/>
          <w:szCs w:val="32"/>
          <w:lang w:val="en-US" w:eastAsia="zh-CN"/>
        </w:rPr>
        <w:t>34.67</w:t>
      </w:r>
      <w:r>
        <w:rPr>
          <w:rFonts w:hint="eastAsia" w:ascii="仿宋_GB2312" w:eastAsia="仿宋_GB2312"/>
          <w:bCs/>
          <w:sz w:val="32"/>
          <w:szCs w:val="32"/>
        </w:rPr>
        <w:t>%。主要产出和效果：进一步抓紧落实纪检系统涉密网络建设、防护改造和测评工作，按照中央、省、市纪委要求，完成纪检监察信息网路分级保护建设工作。发现的问题及原因：</w:t>
      </w:r>
      <w:r>
        <w:rPr>
          <w:rFonts w:hint="eastAsia" w:ascii="仿宋_GB2312" w:eastAsia="仿宋_GB2312"/>
          <w:bCs/>
          <w:sz w:val="32"/>
          <w:szCs w:val="32"/>
          <w:lang w:eastAsia="zh-CN"/>
        </w:rPr>
        <w:t>预算执行率较低，</w:t>
      </w:r>
      <w:r>
        <w:rPr>
          <w:rFonts w:hint="eastAsia" w:ascii="仿宋_GB2312" w:hAnsi="黑体" w:eastAsia="仿宋_GB2312"/>
          <w:sz w:val="32"/>
          <w:szCs w:val="32"/>
        </w:rPr>
        <w:t>项目预算编制细化工作有待加强，项目资金分配管理细化工作有待加强</w:t>
      </w:r>
      <w:r>
        <w:rPr>
          <w:rFonts w:hint="eastAsia" w:ascii="仿宋_GB2312" w:hAnsi="黑体" w:eastAsia="仿宋_GB2312"/>
          <w:sz w:val="32"/>
          <w:szCs w:val="32"/>
          <w:lang w:eastAsia="zh-CN"/>
        </w:rPr>
        <w:t>，主要原因为项目资金分配管理细化程度不够</w:t>
      </w:r>
      <w:r>
        <w:rPr>
          <w:rFonts w:hint="eastAsia" w:ascii="仿宋_GB2312" w:eastAsia="仿宋_GB2312"/>
          <w:bCs/>
          <w:sz w:val="32"/>
          <w:szCs w:val="32"/>
        </w:rPr>
        <w:t>。下一步改进措施：</w:t>
      </w:r>
      <w:r>
        <w:rPr>
          <w:rFonts w:hint="eastAsia" w:ascii="仿宋_GB2312" w:eastAsia="仿宋_GB2312"/>
          <w:sz w:val="32"/>
          <w:szCs w:val="32"/>
        </w:rPr>
        <w:t>加强财务管理，针对专项支出，设置二级明细，为财务管理及后期对比分析提供可靠数据。进一步完善预算编制工作，增强预算的严肃性、准确性和科学性。</w:t>
      </w:r>
    </w:p>
    <w:tbl>
      <w:tblPr>
        <w:tblStyle w:val="5"/>
        <w:tblW w:w="9645" w:type="dxa"/>
        <w:jc w:val="center"/>
        <w:tblLayout w:type="fixed"/>
        <w:tblCellMar>
          <w:top w:w="0" w:type="dxa"/>
          <w:left w:w="108" w:type="dxa"/>
          <w:bottom w:w="0" w:type="dxa"/>
          <w:right w:w="108" w:type="dxa"/>
        </w:tblCellMar>
      </w:tblPr>
      <w:tblGrid>
        <w:gridCol w:w="789"/>
        <w:gridCol w:w="643"/>
        <w:gridCol w:w="720"/>
        <w:gridCol w:w="1823"/>
        <w:gridCol w:w="694"/>
        <w:gridCol w:w="440"/>
        <w:gridCol w:w="718"/>
        <w:gridCol w:w="1267"/>
        <w:gridCol w:w="283"/>
        <w:gridCol w:w="284"/>
        <w:gridCol w:w="425"/>
        <w:gridCol w:w="142"/>
        <w:gridCol w:w="709"/>
        <w:gridCol w:w="708"/>
      </w:tblGrid>
      <w:tr>
        <w:tblPrEx>
          <w:tblCellMar>
            <w:top w:w="0" w:type="dxa"/>
            <w:left w:w="108" w:type="dxa"/>
            <w:bottom w:w="0" w:type="dxa"/>
            <w:right w:w="108" w:type="dxa"/>
          </w:tblCellMar>
        </w:tblPrEx>
        <w:trPr>
          <w:trHeight w:val="462" w:hRule="exac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spacing w:after="0" w:line="320" w:lineRule="exact"/>
              <w:jc w:val="center"/>
              <w:textAlignment w:val="auto"/>
              <w:rPr>
                <w:rFonts w:ascii="宋体" w:hAnsi="宋体" w:eastAsia="宋体" w:cs="宋体"/>
                <w:b/>
                <w:bCs/>
                <w:kern w:val="0"/>
                <w:sz w:val="32"/>
                <w:szCs w:val="32"/>
              </w:rPr>
            </w:pPr>
            <w:r>
              <w:rPr>
                <w:rFonts w:hint="eastAsia" w:ascii="宋体" w:hAnsi="宋体" w:eastAsia="宋体" w:cs="宋体"/>
                <w:b/>
                <w:bCs/>
                <w:kern w:val="0"/>
                <w:sz w:val="32"/>
                <w:szCs w:val="32"/>
              </w:rPr>
              <w:t>项目支出绩效自评表</w:t>
            </w:r>
          </w:p>
        </w:tc>
      </w:tr>
      <w:tr>
        <w:tblPrEx>
          <w:tblCellMar>
            <w:top w:w="0" w:type="dxa"/>
            <w:left w:w="108" w:type="dxa"/>
            <w:bottom w:w="0" w:type="dxa"/>
            <w:right w:w="108" w:type="dxa"/>
          </w:tblCellMar>
        </w:tblPrEx>
        <w:trPr>
          <w:trHeight w:val="409" w:hRule="atLeas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ascii="宋体" w:hAnsi="宋体" w:eastAsia="宋体" w:cs="宋体"/>
                <w:kern w:val="0"/>
                <w:sz w:val="22"/>
              </w:rPr>
            </w:pPr>
            <w:r>
              <w:rPr>
                <w:rFonts w:hint="eastAsia" w:ascii="宋体" w:hAnsi="宋体" w:eastAsia="宋体" w:cs="宋体"/>
                <w:kern w:val="0"/>
                <w:sz w:val="22"/>
              </w:rPr>
              <w:t>（</w:t>
            </w:r>
            <w:r>
              <w:rPr>
                <w:rFonts w:hint="eastAsia" w:ascii="宋体" w:hAnsi="宋体" w:eastAsia="宋体" w:cs="宋体"/>
                <w:kern w:val="0"/>
                <w:sz w:val="22"/>
                <w:lang w:val="en-US" w:eastAsia="zh-CN"/>
              </w:rPr>
              <w:t>2019</w:t>
            </w:r>
            <w:r>
              <w:rPr>
                <w:rFonts w:hint="eastAsia" w:ascii="宋体" w:hAnsi="宋体" w:eastAsia="宋体" w:cs="宋体"/>
                <w:kern w:val="0"/>
                <w:sz w:val="22"/>
              </w:rPr>
              <w:t>年度）</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项目名称</w:t>
            </w:r>
          </w:p>
        </w:tc>
        <w:tc>
          <w:tcPr>
            <w:tcW w:w="8213"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信息化网络平台建设及维护费</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395"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中共西安市莲湖区纪委</w:t>
            </w:r>
          </w:p>
        </w:tc>
      </w:tr>
      <w:tr>
        <w:tblPrEx>
          <w:tblCellMar>
            <w:top w:w="0" w:type="dxa"/>
            <w:left w:w="108" w:type="dxa"/>
            <w:bottom w:w="0" w:type="dxa"/>
            <w:right w:w="108" w:type="dxa"/>
          </w:tblCellMar>
        </w:tblPrEx>
        <w:trPr>
          <w:trHeight w:val="522" w:hRule="exact"/>
          <w:jc w:val="center"/>
        </w:trPr>
        <w:tc>
          <w:tcPr>
            <w:tcW w:w="143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项目资金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（万元）</w:t>
            </w: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textAlignment w:val="auto"/>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2.08</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34.67%</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2.08</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34.67%</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78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38"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773" w:hRule="exact"/>
          <w:jc w:val="center"/>
        </w:trPr>
        <w:tc>
          <w:tcPr>
            <w:tcW w:w="78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038"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1160"/>
              </w:tabs>
              <w:kinsoku/>
              <w:wordWrap/>
              <w:overflowPunct/>
              <w:topLinePunct w:val="0"/>
              <w:autoSpaceDE/>
              <w:autoSpaceDN/>
              <w:bidi w:val="0"/>
              <w:spacing w:after="0" w:line="240" w:lineRule="exact"/>
              <w:ind w:firstLine="360" w:firstLineChars="200"/>
              <w:jc w:val="left"/>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根据《保密法》要求，保障省、市纪委涉密文件的正常传输，保障涉密文件及时报送，保证涉密文件不外漏。</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ind w:firstLine="360" w:firstLineChars="200"/>
              <w:jc w:val="both"/>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省、市纪委涉密文件的正常传输，涉密文件及时报送，涉密文件无外漏。</w:t>
            </w:r>
          </w:p>
        </w:tc>
      </w:tr>
      <w:tr>
        <w:tblPrEx>
          <w:tblCellMar>
            <w:top w:w="0" w:type="dxa"/>
            <w:left w:w="108" w:type="dxa"/>
            <w:bottom w:w="0" w:type="dxa"/>
            <w:right w:w="108" w:type="dxa"/>
          </w:tblCellMar>
        </w:tblPrEx>
        <w:trPr>
          <w:trHeight w:val="533" w:hRule="exact"/>
          <w:jc w:val="center"/>
        </w:trPr>
        <w:tc>
          <w:tcPr>
            <w:tcW w:w="78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标</w:t>
            </w: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一级指标</w:t>
            </w:r>
          </w:p>
        </w:tc>
        <w:tc>
          <w:tcPr>
            <w:tcW w:w="7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三级指标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指标值</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503"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j</w:t>
            </w: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产出指标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数量指标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指标1：维护网络分级保护</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392"/>
              </w:tabs>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1项</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1项</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29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质量指标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指标1：合同执行率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指标2：设备正常运转率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49"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时效指标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指标1：维护时间</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9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6"/>
                <w:szCs w:val="16"/>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6"/>
                <w:szCs w:val="16"/>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81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成本指标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指标1：维护网络分级保护成本</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6万元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2.08</w:t>
            </w:r>
            <w:r>
              <w:rPr>
                <w:rFonts w:hint="eastAsia" w:ascii="宋体" w:hAnsi="宋体" w:eastAsia="宋体" w:cs="宋体"/>
                <w:kern w:val="0"/>
                <w:sz w:val="18"/>
                <w:szCs w:val="18"/>
              </w:rPr>
              <w:t>万元</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00" w:lineRule="exact"/>
              <w:jc w:val="both"/>
              <w:textAlignment w:val="auto"/>
              <w:rPr>
                <w:rFonts w:hint="eastAsia" w:ascii="宋体" w:hAnsi="宋体" w:eastAsia="宋体" w:cs="宋体"/>
                <w:kern w:val="0"/>
                <w:sz w:val="18"/>
                <w:szCs w:val="18"/>
                <w:lang w:eastAsia="zh-CN"/>
              </w:rPr>
            </w:pPr>
            <w:r>
              <w:rPr>
                <w:rFonts w:hint="eastAsia" w:ascii="宋体" w:hAnsi="宋体" w:eastAsia="宋体" w:cs="宋体"/>
                <w:kern w:val="0"/>
                <w:sz w:val="13"/>
                <w:szCs w:val="13"/>
                <w:lang w:eastAsia="zh-CN"/>
              </w:rPr>
              <w:t>仅用于专线使用费用支付，未进行整体维护。根据要求按时进行全部系统维护。</w:t>
            </w:r>
          </w:p>
        </w:tc>
      </w:tr>
      <w:tr>
        <w:tblPrEx>
          <w:tblCellMar>
            <w:top w:w="0" w:type="dxa"/>
            <w:left w:w="108" w:type="dxa"/>
            <w:bottom w:w="0" w:type="dxa"/>
            <w:right w:w="108" w:type="dxa"/>
          </w:tblCellMar>
        </w:tblPrEx>
        <w:trPr>
          <w:trHeight w:val="38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4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效益指标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r>
              <w:rPr>
                <w:rFonts w:hint="eastAsia" w:ascii="宋体" w:hAnsi="宋体" w:eastAsia="宋体" w:cs="宋体"/>
                <w:kern w:val="0"/>
                <w:sz w:val="15"/>
                <w:szCs w:val="15"/>
              </w:rPr>
              <w:t>经济效益指标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9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5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社会效益指标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指标1：保证涉密文件不外漏。</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8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指标2：涉密文件及时报送率。</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6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6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生态效益</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86"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6"/>
                <w:szCs w:val="16"/>
              </w:rPr>
              <w:t>可持续影响指标</w:t>
            </w:r>
            <w:r>
              <w:rPr>
                <w:rFonts w:hint="eastAsia" w:ascii="宋体" w:hAnsi="宋体" w:eastAsia="宋体" w:cs="宋体"/>
                <w:kern w:val="0"/>
                <w:sz w:val="16"/>
                <w:szCs w:val="16"/>
                <w:lang w:val="en-US" w:eastAsia="zh-CN"/>
              </w:rPr>
              <w:t>10</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指标1：执行年度</w:t>
            </w: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长期</w:t>
            </w: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长期</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0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0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满意度指标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3"/>
                <w:szCs w:val="13"/>
                <w:lang w:val="en-US" w:eastAsia="zh-CN"/>
              </w:rPr>
            </w:pPr>
            <w:r>
              <w:rPr>
                <w:rFonts w:hint="eastAsia" w:ascii="宋体" w:hAnsi="宋体" w:eastAsia="宋体" w:cs="宋体"/>
                <w:kern w:val="0"/>
                <w:sz w:val="18"/>
                <w:szCs w:val="18"/>
                <w:lang w:val="en-US" w:eastAsia="zh-CN"/>
              </w:rPr>
              <w:t>10</w:t>
            </w: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6"/>
                <w:szCs w:val="16"/>
              </w:rPr>
              <w:t>服务对象满意度指标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指标1：政府满意度  </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33" w:hRule="exact"/>
          <w:jc w:val="center"/>
        </w:trPr>
        <w:tc>
          <w:tcPr>
            <w:tcW w:w="709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91</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bl>
    <w:p>
      <w:pPr>
        <w:keepNext w:val="0"/>
        <w:keepLines w:val="0"/>
        <w:pageBreakBefore w:val="0"/>
        <w:kinsoku/>
        <w:wordWrap/>
        <w:overflowPunct/>
        <w:topLinePunct w:val="0"/>
        <w:bidi w:val="0"/>
        <w:spacing w:line="560" w:lineRule="exact"/>
        <w:ind w:firstLine="640"/>
        <w:textAlignment w:val="auto"/>
        <w:rPr>
          <w:rFonts w:hint="eastAsia" w:ascii="仿宋_GB2312" w:eastAsia="仿宋_GB2312"/>
          <w:bCs/>
          <w:sz w:val="32"/>
          <w:szCs w:val="32"/>
        </w:rPr>
      </w:pPr>
      <w:r>
        <w:rPr>
          <w:rFonts w:hint="eastAsia" w:ascii="仿宋_GB2312" w:eastAsia="仿宋_GB2312"/>
          <w:bCs/>
          <w:sz w:val="32"/>
          <w:szCs w:val="32"/>
        </w:rPr>
        <w:t>专项业务费项目绩效自评综述：根据年初设定的绩效目标，项目自评得分</w:t>
      </w:r>
      <w:r>
        <w:rPr>
          <w:rFonts w:hint="eastAsia" w:ascii="仿宋_GB2312" w:eastAsia="仿宋_GB2312"/>
          <w:sz w:val="32"/>
          <w:szCs w:val="32"/>
          <w:lang w:val="en-US" w:eastAsia="zh-CN"/>
        </w:rPr>
        <w:t>100</w:t>
      </w:r>
      <w:r>
        <w:rPr>
          <w:rFonts w:hint="eastAsia" w:ascii="仿宋_GB2312" w:eastAsia="仿宋_GB2312"/>
          <w:bCs/>
          <w:sz w:val="32"/>
          <w:szCs w:val="32"/>
        </w:rPr>
        <w:t>分。项目全年预算数</w:t>
      </w:r>
      <w:r>
        <w:rPr>
          <w:rFonts w:hint="eastAsia" w:ascii="仿宋_GB2312" w:eastAsia="仿宋_GB2312"/>
          <w:sz w:val="32"/>
          <w:szCs w:val="32"/>
          <w:lang w:val="en-US" w:eastAsia="zh-CN"/>
        </w:rPr>
        <w:t>65</w:t>
      </w:r>
      <w:r>
        <w:rPr>
          <w:rFonts w:hint="eastAsia" w:ascii="仿宋_GB2312" w:eastAsia="仿宋_GB2312"/>
          <w:bCs/>
          <w:sz w:val="32"/>
          <w:szCs w:val="32"/>
        </w:rPr>
        <w:t>万元，执行数</w:t>
      </w:r>
      <w:r>
        <w:rPr>
          <w:rFonts w:hint="eastAsia" w:ascii="仿宋_GB2312" w:eastAsia="仿宋_GB2312"/>
          <w:sz w:val="32"/>
          <w:szCs w:val="32"/>
          <w:lang w:val="en-US" w:eastAsia="zh-CN"/>
        </w:rPr>
        <w:t>65</w:t>
      </w:r>
      <w:r>
        <w:rPr>
          <w:rFonts w:hint="eastAsia" w:ascii="仿宋_GB2312" w:eastAsia="仿宋_GB2312"/>
          <w:bCs/>
          <w:sz w:val="32"/>
          <w:szCs w:val="32"/>
        </w:rPr>
        <w:t>万元，完成预算的</w:t>
      </w:r>
      <w:r>
        <w:rPr>
          <w:rFonts w:hint="eastAsia" w:ascii="仿宋_GB2312" w:eastAsia="仿宋_GB2312"/>
          <w:sz w:val="32"/>
          <w:szCs w:val="32"/>
          <w:lang w:val="en-US" w:eastAsia="zh-CN"/>
        </w:rPr>
        <w:t>100</w:t>
      </w:r>
      <w:r>
        <w:rPr>
          <w:rFonts w:hint="eastAsia" w:ascii="仿宋_GB2312" w:eastAsia="仿宋_GB2312"/>
          <w:bCs/>
          <w:sz w:val="32"/>
          <w:szCs w:val="32"/>
        </w:rPr>
        <w:t>%。主要产出和效果：</w:t>
      </w:r>
      <w:r>
        <w:rPr>
          <w:rFonts w:hint="eastAsia" w:ascii="仿宋_GB2312" w:hAnsi="Calibri" w:eastAsia="仿宋_GB2312" w:cs="Times New Roman"/>
          <w:sz w:val="32"/>
          <w:szCs w:val="32"/>
          <w:lang w:eastAsia="zh-CN"/>
        </w:rPr>
        <w:t>按照市纪委文件要求，</w:t>
      </w:r>
      <w:r>
        <w:rPr>
          <w:rFonts w:hint="eastAsia" w:ascii="仿宋_GB2312" w:eastAsia="仿宋_GB2312"/>
          <w:bCs/>
          <w:sz w:val="32"/>
          <w:szCs w:val="32"/>
        </w:rPr>
        <w:t>为参与秦岭北麓违建别墅专项整治工作的抽调人员发放案件查办补助，保障市委汉城壹号工作组、市纪委张永潮专案组、市纪委指定管辖秦岭专案组案件调查工作顺利开展。发现的问题及原因：</w:t>
      </w:r>
      <w:r>
        <w:rPr>
          <w:rFonts w:hint="eastAsia" w:ascii="仿宋_GB2312" w:eastAsia="仿宋_GB2312"/>
          <w:bCs/>
          <w:sz w:val="32"/>
          <w:szCs w:val="32"/>
          <w:lang w:eastAsia="zh-CN"/>
        </w:rPr>
        <w:t>预算执行率较低，</w:t>
      </w:r>
      <w:r>
        <w:rPr>
          <w:rFonts w:hint="eastAsia" w:ascii="仿宋_GB2312" w:hAnsi="黑体" w:eastAsia="仿宋_GB2312"/>
          <w:sz w:val="32"/>
          <w:szCs w:val="32"/>
        </w:rPr>
        <w:t>项目预算编制细化工作有待加强，项目资金分配管理细化工作有待加强</w:t>
      </w:r>
      <w:r>
        <w:rPr>
          <w:rFonts w:hint="eastAsia" w:ascii="仿宋_GB2312" w:hAnsi="黑体" w:eastAsia="仿宋_GB2312"/>
          <w:sz w:val="32"/>
          <w:szCs w:val="32"/>
          <w:lang w:eastAsia="zh-CN"/>
        </w:rPr>
        <w:t>，主要原因为项目资金分配管理细化程度不够</w:t>
      </w:r>
      <w:r>
        <w:rPr>
          <w:rFonts w:hint="eastAsia" w:ascii="仿宋_GB2312" w:eastAsia="仿宋_GB2312"/>
          <w:bCs/>
          <w:sz w:val="32"/>
          <w:szCs w:val="32"/>
        </w:rPr>
        <w:t>。下一步改进措施：</w:t>
      </w:r>
      <w:r>
        <w:rPr>
          <w:rFonts w:hint="eastAsia" w:ascii="仿宋_GB2312" w:eastAsia="仿宋_GB2312"/>
          <w:sz w:val="32"/>
          <w:szCs w:val="32"/>
        </w:rPr>
        <w:t>加强财务管理，针对专项支出，设置二级明细，为财务管理及后期对比分析提供可靠数据。进一步完善预算编制工作，增强预算的严肃性、准确性和科学性。</w:t>
      </w:r>
    </w:p>
    <w:tbl>
      <w:tblPr>
        <w:tblStyle w:val="5"/>
        <w:tblW w:w="9645" w:type="dxa"/>
        <w:jc w:val="center"/>
        <w:tblLayout w:type="fixed"/>
        <w:tblCellMar>
          <w:top w:w="0" w:type="dxa"/>
          <w:left w:w="108" w:type="dxa"/>
          <w:bottom w:w="0" w:type="dxa"/>
          <w:right w:w="108" w:type="dxa"/>
        </w:tblCellMar>
      </w:tblPr>
      <w:tblGrid>
        <w:gridCol w:w="789"/>
        <w:gridCol w:w="643"/>
        <w:gridCol w:w="720"/>
        <w:gridCol w:w="1823"/>
        <w:gridCol w:w="694"/>
        <w:gridCol w:w="440"/>
        <w:gridCol w:w="718"/>
        <w:gridCol w:w="1267"/>
        <w:gridCol w:w="283"/>
        <w:gridCol w:w="284"/>
        <w:gridCol w:w="425"/>
        <w:gridCol w:w="142"/>
        <w:gridCol w:w="709"/>
        <w:gridCol w:w="708"/>
      </w:tblGrid>
      <w:tr>
        <w:tblPrEx>
          <w:tblCellMar>
            <w:top w:w="0" w:type="dxa"/>
            <w:left w:w="108" w:type="dxa"/>
            <w:bottom w:w="0" w:type="dxa"/>
            <w:right w:w="108" w:type="dxa"/>
          </w:tblCellMar>
        </w:tblPrEx>
        <w:trPr>
          <w:trHeight w:val="462" w:hRule="exac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spacing w:after="0" w:line="320" w:lineRule="exact"/>
              <w:jc w:val="center"/>
              <w:textAlignment w:val="auto"/>
              <w:rPr>
                <w:rFonts w:ascii="宋体" w:hAnsi="宋体" w:eastAsia="宋体" w:cs="宋体"/>
                <w:b/>
                <w:bCs/>
                <w:kern w:val="0"/>
                <w:sz w:val="32"/>
                <w:szCs w:val="32"/>
              </w:rPr>
            </w:pPr>
            <w:r>
              <w:rPr>
                <w:rFonts w:hint="eastAsia" w:ascii="宋体" w:hAnsi="宋体" w:eastAsia="宋体" w:cs="宋体"/>
                <w:b/>
                <w:bCs/>
                <w:kern w:val="0"/>
                <w:sz w:val="32"/>
                <w:szCs w:val="32"/>
              </w:rPr>
              <w:t>项目支出绩效自评表</w:t>
            </w:r>
          </w:p>
        </w:tc>
      </w:tr>
      <w:tr>
        <w:tblPrEx>
          <w:tblCellMar>
            <w:top w:w="0" w:type="dxa"/>
            <w:left w:w="108" w:type="dxa"/>
            <w:bottom w:w="0" w:type="dxa"/>
            <w:right w:w="108" w:type="dxa"/>
          </w:tblCellMar>
        </w:tblPrEx>
        <w:trPr>
          <w:trHeight w:val="409" w:hRule="atLeast"/>
          <w:jc w:val="center"/>
        </w:trPr>
        <w:tc>
          <w:tcPr>
            <w:tcW w:w="9645" w:type="dxa"/>
            <w:gridSpan w:val="14"/>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ascii="宋体" w:hAnsi="宋体" w:eastAsia="宋体" w:cs="宋体"/>
                <w:kern w:val="0"/>
                <w:sz w:val="22"/>
              </w:rPr>
            </w:pPr>
            <w:r>
              <w:rPr>
                <w:rFonts w:hint="eastAsia" w:ascii="宋体" w:hAnsi="宋体" w:eastAsia="宋体" w:cs="宋体"/>
                <w:kern w:val="0"/>
                <w:sz w:val="22"/>
              </w:rPr>
              <w:t>（</w:t>
            </w:r>
            <w:r>
              <w:rPr>
                <w:rFonts w:hint="eastAsia" w:ascii="宋体" w:hAnsi="宋体" w:eastAsia="宋体" w:cs="宋体"/>
                <w:kern w:val="0"/>
                <w:sz w:val="22"/>
                <w:lang w:val="en-US" w:eastAsia="zh-CN"/>
              </w:rPr>
              <w:t>2019</w:t>
            </w:r>
            <w:r>
              <w:rPr>
                <w:rFonts w:hint="eastAsia" w:ascii="宋体" w:hAnsi="宋体" w:eastAsia="宋体" w:cs="宋体"/>
                <w:kern w:val="0"/>
                <w:sz w:val="22"/>
              </w:rPr>
              <w:t>年度）</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项目名称</w:t>
            </w:r>
          </w:p>
        </w:tc>
        <w:tc>
          <w:tcPr>
            <w:tcW w:w="8213"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专项业务费</w:t>
            </w:r>
          </w:p>
        </w:tc>
      </w:tr>
      <w:tr>
        <w:tblPrEx>
          <w:tblCellMar>
            <w:top w:w="0" w:type="dxa"/>
            <w:left w:w="108" w:type="dxa"/>
            <w:bottom w:w="0" w:type="dxa"/>
            <w:right w:w="108" w:type="dxa"/>
          </w:tblCellMar>
        </w:tblPrEx>
        <w:trPr>
          <w:trHeight w:val="300" w:hRule="exact"/>
          <w:jc w:val="center"/>
        </w:trPr>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395"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both"/>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中共西安市莲湖区纪委</w:t>
            </w:r>
          </w:p>
        </w:tc>
      </w:tr>
      <w:tr>
        <w:tblPrEx>
          <w:tblCellMar>
            <w:top w:w="0" w:type="dxa"/>
            <w:left w:w="108" w:type="dxa"/>
            <w:bottom w:w="0" w:type="dxa"/>
            <w:right w:w="108" w:type="dxa"/>
          </w:tblCellMar>
        </w:tblPrEx>
        <w:trPr>
          <w:trHeight w:val="522" w:hRule="exact"/>
          <w:jc w:val="center"/>
        </w:trPr>
        <w:tc>
          <w:tcPr>
            <w:tcW w:w="143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项目资金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（万元）</w:t>
            </w: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textAlignment w:val="auto"/>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w:t>
            </w: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4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7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5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78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38"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1470" w:hRule="exact"/>
          <w:jc w:val="center"/>
        </w:trPr>
        <w:tc>
          <w:tcPr>
            <w:tcW w:w="78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038"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1160"/>
              </w:tabs>
              <w:kinsoku/>
              <w:wordWrap/>
              <w:overflowPunct/>
              <w:topLinePunct w:val="0"/>
              <w:autoSpaceDE/>
              <w:autoSpaceDN/>
              <w:bidi w:val="0"/>
              <w:spacing w:after="0" w:line="240" w:lineRule="exact"/>
              <w:ind w:firstLine="360" w:firstLineChars="200"/>
              <w:jc w:val="left"/>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按照市纪委文件要求，为参与秦岭北麓违建别墅专项整治工作的抽调人员发放案件查办补助。保障市委汉城壹号工作组、市纪委张永潮专案组、市纪委指定管辖秦岭专案组案件调查工作顺利开展。</w:t>
            </w:r>
          </w:p>
        </w:tc>
        <w:tc>
          <w:tcPr>
            <w:tcW w:w="3818"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ind w:firstLine="360" w:firstLineChars="200"/>
              <w:jc w:val="both"/>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完成秦岭北麓违建别墅专项整治工作抽调人员案件查办补助发放，保障市委汉城壹号工作组、市纪委张永潮专案组、市纪委指定管辖秦岭专案组案件正常开展。</w:t>
            </w:r>
          </w:p>
        </w:tc>
      </w:tr>
      <w:tr>
        <w:tblPrEx>
          <w:tblCellMar>
            <w:top w:w="0" w:type="dxa"/>
            <w:left w:w="108" w:type="dxa"/>
            <w:bottom w:w="0" w:type="dxa"/>
            <w:right w:w="108" w:type="dxa"/>
          </w:tblCellMar>
        </w:tblPrEx>
        <w:trPr>
          <w:trHeight w:val="533" w:hRule="exact"/>
          <w:jc w:val="center"/>
        </w:trPr>
        <w:tc>
          <w:tcPr>
            <w:tcW w:w="78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标</w:t>
            </w: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一级指标</w:t>
            </w:r>
          </w:p>
        </w:tc>
        <w:tc>
          <w:tcPr>
            <w:tcW w:w="7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三级指标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年度</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指标值</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实际</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351"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j</w:t>
            </w: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产出指标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w:t>
            </w: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数量指标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6"/>
                <w:szCs w:val="16"/>
                <w:lang w:eastAsia="zh-CN"/>
              </w:rPr>
              <w:t>案件查办补助发放次数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tabs>
                <w:tab w:val="left" w:pos="392"/>
              </w:tabs>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1次</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1次</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4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2：</w:t>
            </w:r>
            <w:r>
              <w:rPr>
                <w:rFonts w:hint="eastAsia" w:ascii="宋体" w:hAnsi="宋体" w:eastAsia="宋体" w:cs="宋体"/>
                <w:color w:val="000000"/>
                <w:kern w:val="0"/>
                <w:sz w:val="15"/>
                <w:szCs w:val="15"/>
                <w:lang w:val="en-US" w:eastAsia="zh-CN"/>
              </w:rPr>
              <w:t>案件查办住宿及就餐次数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3次</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3次</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34"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6"/>
                <w:szCs w:val="16"/>
                <w:lang w:val="en-US" w:eastAsia="zh-CN"/>
              </w:rPr>
              <w:t>案件租车次数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≥1次</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1次</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rPr>
            </w:pPr>
          </w:p>
        </w:tc>
      </w:tr>
      <w:tr>
        <w:tblPrEx>
          <w:tblCellMar>
            <w:top w:w="0" w:type="dxa"/>
            <w:left w:w="108" w:type="dxa"/>
            <w:bottom w:w="0" w:type="dxa"/>
            <w:right w:w="108" w:type="dxa"/>
          </w:tblCellMar>
        </w:tblPrEx>
        <w:trPr>
          <w:trHeight w:val="49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5"/>
                <w:szCs w:val="15"/>
                <w:lang w:val="en-US" w:eastAsia="zh-CN"/>
              </w:rPr>
              <w:t>办公用品、设备采购等后勤保障次数</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≥3次</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3次</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5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质量指标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8"/>
                <w:szCs w:val="18"/>
                <w:lang w:eastAsia="zh-CN"/>
              </w:rPr>
              <w:t>出勤率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4</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指标2：合同执行率</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4</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55"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时效指标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8"/>
                <w:szCs w:val="18"/>
                <w:lang w:eastAsia="zh-CN"/>
              </w:rPr>
              <w:t>发放时间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2019年度</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4</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90"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2：租车时间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2019年度</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2019年度</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4</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3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3：采购时间</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2019年度</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lang w:val="en-US" w:eastAsia="zh-CN" w:bidi="ar-SA"/>
              </w:rPr>
            </w:pPr>
            <w:r>
              <w:rPr>
                <w:rFonts w:hint="eastAsia" w:ascii="宋体" w:hAnsi="宋体" w:eastAsia="宋体" w:cs="宋体"/>
                <w:kern w:val="0"/>
                <w:sz w:val="18"/>
                <w:szCs w:val="18"/>
              </w:rPr>
              <w:t>2019年度</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4</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4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成本指标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8"/>
                <w:szCs w:val="18"/>
                <w:lang w:eastAsia="zh-CN"/>
              </w:rPr>
              <w:t>发放补助成本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20万元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00" w:lineRule="exact"/>
              <w:jc w:val="both"/>
              <w:textAlignment w:val="auto"/>
              <w:rPr>
                <w:rFonts w:hint="eastAsia" w:ascii="宋体" w:hAnsi="宋体" w:eastAsia="宋体" w:cs="宋体"/>
                <w:kern w:val="0"/>
                <w:sz w:val="18"/>
                <w:szCs w:val="18"/>
                <w:lang w:eastAsia="zh-CN"/>
              </w:rPr>
            </w:pPr>
          </w:p>
        </w:tc>
      </w:tr>
      <w:tr>
        <w:tblPrEx>
          <w:tblCellMar>
            <w:top w:w="0" w:type="dxa"/>
            <w:left w:w="108" w:type="dxa"/>
            <w:bottom w:w="0" w:type="dxa"/>
            <w:right w:w="108" w:type="dxa"/>
          </w:tblCellMar>
        </w:tblPrEx>
        <w:trPr>
          <w:trHeight w:val="361"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2：住宿就餐成本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34万元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3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3：租车成本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5万元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3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eastAsia="zh-CN"/>
              </w:rPr>
              <w:t>指标</w:t>
            </w:r>
            <w:r>
              <w:rPr>
                <w:rFonts w:hint="eastAsia" w:ascii="宋体" w:hAnsi="宋体" w:eastAsia="宋体" w:cs="宋体"/>
                <w:color w:val="000000"/>
                <w:kern w:val="0"/>
                <w:sz w:val="18"/>
                <w:szCs w:val="18"/>
                <w:lang w:val="en-US" w:eastAsia="zh-CN"/>
              </w:rPr>
              <w:t>4：</w:t>
            </w:r>
            <w:r>
              <w:rPr>
                <w:rFonts w:hint="eastAsia" w:ascii="宋体" w:hAnsi="宋体" w:eastAsia="宋体" w:cs="宋体"/>
                <w:color w:val="000000"/>
                <w:kern w:val="0"/>
                <w:sz w:val="15"/>
                <w:szCs w:val="15"/>
                <w:lang w:val="en-US" w:eastAsia="zh-CN"/>
              </w:rPr>
              <w:t>办公用品、设备采购等后勤保障成本</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6万元</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6万元</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4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效益指标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r>
              <w:rPr>
                <w:rFonts w:hint="eastAsia" w:ascii="宋体" w:hAnsi="宋体" w:eastAsia="宋体" w:cs="宋体"/>
                <w:kern w:val="0"/>
                <w:sz w:val="15"/>
                <w:szCs w:val="15"/>
              </w:rPr>
              <w:t>经济效益指标</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9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5"/>
                <w:szCs w:val="15"/>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5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社会效益指标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8"/>
                <w:szCs w:val="18"/>
                <w:lang w:eastAsia="zh-CN"/>
              </w:rPr>
              <w:t>查处违纪违法案件</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4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6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hint="eastAsia" w:ascii="宋体" w:hAnsi="宋体" w:eastAsia="宋体" w:cs="宋体"/>
                <w:color w:val="000000"/>
                <w:kern w:val="0"/>
                <w:sz w:val="18"/>
                <w:szCs w:val="18"/>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4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生态效益</w:t>
            </w:r>
          </w:p>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386"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6"/>
                <w:szCs w:val="16"/>
              </w:rPr>
              <w:t>可持续影响指标</w:t>
            </w:r>
            <w:r>
              <w:rPr>
                <w:rFonts w:hint="eastAsia" w:ascii="宋体" w:hAnsi="宋体" w:eastAsia="宋体" w:cs="宋体"/>
                <w:kern w:val="0"/>
                <w:sz w:val="16"/>
                <w:szCs w:val="16"/>
                <w:lang w:val="en-US" w:eastAsia="zh-CN"/>
              </w:rPr>
              <w:t>10</w:t>
            </w:r>
          </w:p>
        </w:tc>
        <w:tc>
          <w:tcPr>
            <w:tcW w:w="25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指标1：执行年度</w:t>
            </w: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2019年度</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lang w:val="en-US" w:eastAsia="zh-CN"/>
              </w:rPr>
              <w:t>2019年度</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08"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07"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满意度指标</w:t>
            </w:r>
          </w:p>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3"/>
                <w:szCs w:val="13"/>
                <w:lang w:val="en-US" w:eastAsia="zh-CN"/>
              </w:rPr>
            </w:pPr>
            <w:r>
              <w:rPr>
                <w:rFonts w:hint="eastAsia" w:ascii="宋体" w:hAnsi="宋体" w:eastAsia="宋体" w:cs="宋体"/>
                <w:kern w:val="0"/>
                <w:sz w:val="18"/>
                <w:szCs w:val="18"/>
                <w:lang w:val="en-US" w:eastAsia="zh-CN"/>
              </w:rPr>
              <w:t>10</w:t>
            </w:r>
          </w:p>
        </w:tc>
        <w:tc>
          <w:tcPr>
            <w:tcW w:w="72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6"/>
                <w:szCs w:val="16"/>
              </w:rPr>
              <w:t>服务对象满意度指标</w:t>
            </w: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指标1：政府满意度  </w:t>
            </w: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r>
              <w:rPr>
                <w:rFonts w:hint="eastAsia" w:ascii="宋体" w:hAnsi="宋体" w:eastAsia="宋体" w:cs="宋体"/>
                <w:kern w:val="0"/>
                <w:sz w:val="18"/>
                <w:szCs w:val="18"/>
              </w:rPr>
              <w:t>95%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442" w:hRule="exact"/>
          <w:jc w:val="center"/>
        </w:trPr>
        <w:tc>
          <w:tcPr>
            <w:tcW w:w="78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72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25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left"/>
              <w:textAlignment w:val="auto"/>
              <w:rPr>
                <w:rFonts w:ascii="宋体" w:hAnsi="宋体" w:eastAsia="宋体" w:cs="宋体"/>
                <w:color w:val="000000"/>
                <w:kern w:val="0"/>
                <w:sz w:val="18"/>
                <w:szCs w:val="18"/>
              </w:rPr>
            </w:pPr>
          </w:p>
        </w:tc>
        <w:tc>
          <w:tcPr>
            <w:tcW w:w="1158"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2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r>
        <w:tblPrEx>
          <w:tblCellMar>
            <w:top w:w="0" w:type="dxa"/>
            <w:left w:w="108" w:type="dxa"/>
            <w:bottom w:w="0" w:type="dxa"/>
            <w:right w:w="108" w:type="dxa"/>
          </w:tblCellMar>
        </w:tblPrEx>
        <w:trPr>
          <w:trHeight w:val="533" w:hRule="exact"/>
          <w:jc w:val="center"/>
        </w:trPr>
        <w:tc>
          <w:tcPr>
            <w:tcW w:w="709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100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after="0" w:line="240" w:lineRule="exact"/>
              <w:jc w:val="center"/>
              <w:textAlignment w:val="auto"/>
              <w:rPr>
                <w:rFonts w:ascii="宋体" w:hAnsi="宋体" w:eastAsia="宋体" w:cs="宋体"/>
                <w:kern w:val="0"/>
                <w:sz w:val="18"/>
                <w:szCs w:val="18"/>
              </w:rPr>
            </w:pPr>
          </w:p>
        </w:tc>
      </w:tr>
    </w:tbl>
    <w:p>
      <w:pPr>
        <w:pStyle w:val="14"/>
        <w:keepNext w:val="0"/>
        <w:keepLines w:val="0"/>
        <w:widowControl w:val="0"/>
        <w:shd w:val="clear" w:color="auto" w:fill="auto"/>
        <w:bidi w:val="0"/>
        <w:spacing w:before="0" w:after="0" w:line="630" w:lineRule="exact"/>
        <w:ind w:left="0" w:right="0" w:firstLine="820"/>
        <w:jc w:val="left"/>
        <w:rPr>
          <w:sz w:val="30"/>
          <w:szCs w:val="30"/>
        </w:rPr>
      </w:pPr>
      <w:r>
        <w:rPr>
          <w:color w:val="000000"/>
          <w:spacing w:val="0"/>
          <w:w w:val="100"/>
          <w:position w:val="0"/>
          <w:sz w:val="30"/>
          <w:szCs w:val="30"/>
        </w:rPr>
        <w:t>（</w:t>
      </w:r>
      <w:bookmarkEnd w:id="61"/>
      <w:r>
        <w:rPr>
          <w:color w:val="000000"/>
          <w:spacing w:val="0"/>
          <w:w w:val="100"/>
          <w:position w:val="0"/>
          <w:sz w:val="30"/>
          <w:szCs w:val="30"/>
        </w:rPr>
        <w:t>三）部门决算中整体支出绩效自评结果。</w:t>
      </w:r>
    </w:p>
    <w:p>
      <w:pPr>
        <w:keepNext w:val="0"/>
        <w:keepLines w:val="0"/>
        <w:pageBreakBefore w:val="0"/>
        <w:kinsoku/>
        <w:wordWrap/>
        <w:overflowPunct/>
        <w:topLinePunct w:val="0"/>
        <w:bidi w:val="0"/>
        <w:spacing w:line="560" w:lineRule="exact"/>
        <w:ind w:firstLine="640"/>
        <w:textAlignment w:val="auto"/>
        <w:rPr>
          <w:rFonts w:hint="eastAsia" w:ascii="仿宋_GB2312" w:eastAsia="仿宋_GB2312"/>
          <w:bCs/>
          <w:sz w:val="32"/>
          <w:szCs w:val="32"/>
        </w:rPr>
      </w:pPr>
      <w:r>
        <w:rPr>
          <w:rFonts w:hint="eastAsia" w:ascii="仿宋_GB2312" w:eastAsia="仿宋_GB2312"/>
          <w:bCs/>
          <w:sz w:val="32"/>
          <w:szCs w:val="32"/>
        </w:rPr>
        <w:t>根据年初设定的绩效目标，</w:t>
      </w:r>
      <w:r>
        <w:rPr>
          <w:rFonts w:hint="eastAsia" w:ascii="仿宋_GB2312" w:eastAsia="仿宋_GB2312"/>
          <w:bCs/>
          <w:sz w:val="32"/>
          <w:szCs w:val="32"/>
          <w:lang w:eastAsia="zh-CN"/>
        </w:rPr>
        <w:t>本部门</w:t>
      </w:r>
      <w:r>
        <w:rPr>
          <w:rFonts w:hint="eastAsia" w:ascii="仿宋_GB2312" w:eastAsia="仿宋_GB2312"/>
          <w:bCs/>
          <w:sz w:val="32"/>
          <w:szCs w:val="32"/>
          <w:lang w:val="en-US" w:eastAsia="zh-CN"/>
        </w:rPr>
        <w:t>2019年度整体</w:t>
      </w:r>
      <w:r>
        <w:rPr>
          <w:rFonts w:hint="eastAsia" w:ascii="仿宋_GB2312" w:eastAsia="仿宋_GB2312"/>
          <w:bCs/>
          <w:sz w:val="32"/>
          <w:szCs w:val="32"/>
        </w:rPr>
        <w:t>自评得分</w:t>
      </w:r>
      <w:r>
        <w:rPr>
          <w:rFonts w:hint="eastAsia" w:ascii="仿宋_GB2312" w:eastAsia="仿宋_GB2312"/>
          <w:sz w:val="32"/>
          <w:szCs w:val="32"/>
          <w:lang w:val="en-US" w:eastAsia="zh-CN"/>
        </w:rPr>
        <w:t>95</w:t>
      </w:r>
      <w:r>
        <w:rPr>
          <w:rFonts w:hint="eastAsia" w:ascii="仿宋_GB2312" w:eastAsia="仿宋_GB2312"/>
          <w:bCs/>
          <w:sz w:val="32"/>
          <w:szCs w:val="32"/>
        </w:rPr>
        <w:t>分。全年预算数</w:t>
      </w:r>
      <w:r>
        <w:rPr>
          <w:rFonts w:hint="eastAsia" w:ascii="仿宋_GB2312" w:hAnsi="仿宋_GB2312" w:eastAsia="仿宋_GB2312" w:cs="仿宋_GB2312"/>
          <w:sz w:val="30"/>
          <w:szCs w:val="30"/>
          <w:lang w:val="en-US" w:eastAsia="zh-CN"/>
        </w:rPr>
        <w:t>761.78</w:t>
      </w:r>
      <w:r>
        <w:rPr>
          <w:rFonts w:hint="eastAsia" w:ascii="仿宋_GB2312" w:eastAsia="仿宋_GB2312"/>
          <w:bCs/>
          <w:sz w:val="32"/>
          <w:szCs w:val="32"/>
        </w:rPr>
        <w:t>万元，执行数</w:t>
      </w:r>
      <w:r>
        <w:rPr>
          <w:rFonts w:hint="eastAsia" w:ascii="仿宋_GB2312" w:hAnsi="仿宋_GB2312" w:eastAsia="仿宋_GB2312" w:cs="仿宋_GB2312"/>
          <w:sz w:val="30"/>
          <w:lang w:val="en-US" w:eastAsia="zh-CN"/>
        </w:rPr>
        <w:t>761.78</w:t>
      </w:r>
      <w:r>
        <w:rPr>
          <w:rFonts w:hint="eastAsia" w:ascii="仿宋_GB2312" w:eastAsia="仿宋_GB2312"/>
          <w:bCs/>
          <w:sz w:val="32"/>
          <w:szCs w:val="32"/>
        </w:rPr>
        <w:t>万元，完成预算的</w:t>
      </w:r>
      <w:r>
        <w:rPr>
          <w:rFonts w:hint="eastAsia" w:ascii="仿宋_GB2312" w:eastAsia="仿宋_GB2312"/>
          <w:sz w:val="32"/>
          <w:szCs w:val="32"/>
          <w:lang w:val="en-US" w:eastAsia="zh-CN"/>
        </w:rPr>
        <w:t>100</w:t>
      </w:r>
      <w:r>
        <w:rPr>
          <w:rFonts w:hint="eastAsia" w:ascii="仿宋_GB2312" w:eastAsia="仿宋_GB2312"/>
          <w:bCs/>
          <w:sz w:val="32"/>
          <w:szCs w:val="32"/>
        </w:rPr>
        <w:t>%。主要产出和效果：保障</w:t>
      </w:r>
      <w:r>
        <w:rPr>
          <w:rFonts w:hint="eastAsia" w:ascii="仿宋_GB2312" w:eastAsia="仿宋_GB2312"/>
          <w:bCs/>
          <w:sz w:val="32"/>
          <w:szCs w:val="32"/>
          <w:lang w:eastAsia="zh-CN"/>
        </w:rPr>
        <w:t>了</w:t>
      </w:r>
      <w:r>
        <w:rPr>
          <w:rFonts w:hint="eastAsia" w:ascii="仿宋_GB2312" w:eastAsia="仿宋_GB2312"/>
          <w:bCs/>
          <w:sz w:val="32"/>
          <w:szCs w:val="32"/>
        </w:rPr>
        <w:t>中共西安市莲湖区纪委正常运转、保障纪检监察职能的实现</w:t>
      </w:r>
      <w:r>
        <w:rPr>
          <w:rFonts w:hint="eastAsia" w:ascii="仿宋_GB2312" w:eastAsia="仿宋_GB2312"/>
          <w:bCs/>
          <w:sz w:val="32"/>
          <w:szCs w:val="32"/>
          <w:lang w:eastAsia="zh-CN"/>
        </w:rPr>
        <w:t>。</w:t>
      </w:r>
      <w:r>
        <w:rPr>
          <w:rFonts w:hint="eastAsia" w:ascii="仿宋_GB2312" w:eastAsia="仿宋_GB2312"/>
          <w:bCs/>
          <w:sz w:val="32"/>
          <w:szCs w:val="32"/>
        </w:rPr>
        <w:t>发现的问题及原因：</w:t>
      </w:r>
      <w:r>
        <w:rPr>
          <w:rFonts w:hint="eastAsia" w:ascii="仿宋_GB2312" w:eastAsia="仿宋_GB2312"/>
          <w:bCs/>
          <w:sz w:val="32"/>
          <w:szCs w:val="32"/>
          <w:lang w:eastAsia="zh-CN"/>
        </w:rPr>
        <w:t>财政预算精准性不够，</w:t>
      </w:r>
      <w:r>
        <w:rPr>
          <w:rFonts w:hint="eastAsia" w:ascii="仿宋_GB2312" w:eastAsia="仿宋_GB2312"/>
          <w:bCs/>
          <w:sz w:val="32"/>
          <w:szCs w:val="32"/>
        </w:rPr>
        <w:t>财政支出均衡性不足。</w:t>
      </w:r>
    </w:p>
    <w:p>
      <w:pPr>
        <w:keepNext w:val="0"/>
        <w:keepLines w:val="0"/>
        <w:pageBreakBefore w:val="0"/>
        <w:kinsoku/>
        <w:wordWrap/>
        <w:overflowPunct/>
        <w:topLinePunct w:val="0"/>
        <w:bidi w:val="0"/>
        <w:spacing w:line="560" w:lineRule="exact"/>
        <w:ind w:firstLine="640"/>
        <w:textAlignment w:val="auto"/>
        <w:rPr>
          <w:rFonts w:hint="eastAsia" w:ascii="仿宋_GB2312" w:eastAsia="仿宋_GB2312"/>
          <w:bCs/>
          <w:sz w:val="32"/>
          <w:szCs w:val="32"/>
        </w:rPr>
      </w:pPr>
      <w:r>
        <w:rPr>
          <w:rFonts w:hint="eastAsia" w:ascii="仿宋_GB2312" w:eastAsia="仿宋_GB2312"/>
          <w:bCs/>
          <w:sz w:val="32"/>
          <w:szCs w:val="32"/>
        </w:rPr>
        <w:t>下一步改进措施：</w:t>
      </w:r>
      <w:r>
        <w:rPr>
          <w:rFonts w:hint="eastAsia" w:ascii="仿宋_GB2312" w:eastAsia="仿宋_GB2312"/>
          <w:sz w:val="32"/>
          <w:szCs w:val="32"/>
        </w:rPr>
        <w:t>加强财务管理，针对专项支出，设置二级明细，为财务管理及后期对比分析提供可靠数据。进一步完善预算编制工作，增强预算的严肃性、准确性和科学性。</w:t>
      </w:r>
    </w:p>
    <w:p>
      <w:pPr>
        <w:pStyle w:val="22"/>
        <w:keepNext w:val="0"/>
        <w:keepLines w:val="0"/>
        <w:widowControl w:val="0"/>
        <w:shd w:val="clear" w:color="auto" w:fill="auto"/>
        <w:bidi w:val="0"/>
        <w:spacing w:before="0" w:after="0" w:line="240" w:lineRule="auto"/>
        <w:ind w:left="0" w:right="0" w:firstLine="0"/>
        <w:jc w:val="center"/>
        <w:rPr>
          <w:color w:val="000000"/>
          <w:spacing w:val="0"/>
          <w:w w:val="100"/>
          <w:position w:val="0"/>
          <w:sz w:val="36"/>
          <w:szCs w:val="36"/>
        </w:rPr>
      </w:pPr>
    </w:p>
    <w:p>
      <w:pPr>
        <w:pStyle w:val="22"/>
        <w:keepNext w:val="0"/>
        <w:keepLines w:val="0"/>
        <w:widowControl w:val="0"/>
        <w:shd w:val="clear" w:color="auto" w:fill="auto"/>
        <w:bidi w:val="0"/>
        <w:spacing w:before="0" w:after="0" w:line="240" w:lineRule="auto"/>
        <w:ind w:left="0" w:right="0" w:firstLine="0"/>
        <w:jc w:val="center"/>
        <w:rPr>
          <w:color w:val="000000"/>
          <w:spacing w:val="0"/>
          <w:w w:val="100"/>
          <w:position w:val="0"/>
          <w:sz w:val="36"/>
          <w:szCs w:val="36"/>
        </w:rPr>
      </w:pPr>
    </w:p>
    <w:p>
      <w:pPr>
        <w:pStyle w:val="22"/>
        <w:keepNext w:val="0"/>
        <w:keepLines w:val="0"/>
        <w:widowControl w:val="0"/>
        <w:shd w:val="clear" w:color="auto" w:fill="auto"/>
        <w:bidi w:val="0"/>
        <w:spacing w:before="0" w:after="0" w:line="240" w:lineRule="auto"/>
        <w:ind w:left="0" w:right="0" w:firstLine="0"/>
        <w:jc w:val="both"/>
        <w:rPr>
          <w:color w:val="000000"/>
          <w:spacing w:val="0"/>
          <w:w w:val="100"/>
          <w:position w:val="0"/>
          <w:sz w:val="36"/>
          <w:szCs w:val="36"/>
        </w:rPr>
      </w:pPr>
    </w:p>
    <w:p>
      <w:pPr>
        <w:pStyle w:val="22"/>
        <w:keepNext w:val="0"/>
        <w:keepLines w:val="0"/>
        <w:widowControl w:val="0"/>
        <w:shd w:val="clear" w:color="auto" w:fill="auto"/>
        <w:bidi w:val="0"/>
        <w:spacing w:before="0" w:after="0" w:line="240" w:lineRule="auto"/>
        <w:ind w:left="0" w:right="0" w:firstLine="0"/>
        <w:jc w:val="center"/>
        <w:rPr>
          <w:color w:val="000000"/>
          <w:spacing w:val="0"/>
          <w:w w:val="100"/>
          <w:position w:val="0"/>
          <w:sz w:val="36"/>
          <w:szCs w:val="36"/>
        </w:rPr>
      </w:pPr>
    </w:p>
    <w:p>
      <w:pPr>
        <w:rPr>
          <w:color w:val="000000"/>
          <w:spacing w:val="0"/>
          <w:w w:val="100"/>
          <w:position w:val="0"/>
          <w:sz w:val="36"/>
          <w:szCs w:val="36"/>
        </w:rPr>
        <w:sectPr>
          <w:footnotePr>
            <w:numFmt w:val="decimal"/>
          </w:footnotePr>
          <w:pgSz w:w="11900" w:h="16840"/>
          <w:pgMar w:top="1414" w:right="2056" w:bottom="1436" w:left="2112" w:header="1684" w:footer="1628" w:gutter="0"/>
          <w:cols w:space="720" w:num="1"/>
          <w:rtlGutter w:val="0"/>
          <w:docGrid w:linePitch="360" w:charSpace="0"/>
        </w:sectPr>
      </w:pPr>
    </w:p>
    <w:p>
      <w:pPr>
        <w:pStyle w:val="22"/>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部门整体支出绩效自评表</w:t>
      </w:r>
    </w:p>
    <w:p>
      <w:pPr>
        <w:pStyle w:val="22"/>
        <w:keepNext w:val="0"/>
        <w:keepLines w:val="0"/>
        <w:widowControl w:val="0"/>
        <w:shd w:val="clear" w:color="auto" w:fill="auto"/>
        <w:bidi w:val="0"/>
        <w:spacing w:before="0" w:after="160" w:line="240" w:lineRule="auto"/>
        <w:ind w:left="0" w:right="0" w:firstLine="0"/>
        <w:jc w:val="center"/>
        <w:rPr>
          <w:sz w:val="16"/>
          <w:szCs w:val="16"/>
        </w:rPr>
      </w:pPr>
      <w:r>
        <w:rPr>
          <w:b/>
          <w:bCs/>
          <w:color w:val="000000"/>
          <w:spacing w:val="0"/>
          <w:w w:val="100"/>
          <w:position w:val="0"/>
          <w:sz w:val="18"/>
          <w:szCs w:val="18"/>
        </w:rPr>
        <w:t>（2019</w:t>
      </w:r>
      <w:r>
        <w:rPr>
          <w:color w:val="000000"/>
          <w:spacing w:val="0"/>
          <w:w w:val="100"/>
          <w:position w:val="0"/>
          <w:sz w:val="16"/>
          <w:szCs w:val="16"/>
        </w:rPr>
        <w:t>年度）</w:t>
      </w:r>
    </w:p>
    <w:p>
      <w:pPr>
        <w:pStyle w:val="24"/>
        <w:keepNext w:val="0"/>
        <w:keepLines w:val="0"/>
        <w:widowControl w:val="0"/>
        <w:shd w:val="clear" w:color="auto" w:fill="auto"/>
        <w:tabs>
          <w:tab w:val="left" w:pos="6005"/>
        </w:tabs>
        <w:bidi w:val="0"/>
        <w:spacing w:before="0" w:after="40" w:line="240" w:lineRule="auto"/>
        <w:ind w:left="0" w:right="0" w:firstLine="0"/>
        <w:jc w:val="left"/>
        <w:rPr>
          <w:rFonts w:hint="default" w:eastAsia="宋体"/>
          <w:lang w:val="en-US" w:eastAsia="zh-CN"/>
        </w:rPr>
      </w:pPr>
      <w:r>
        <w:rPr>
          <w:color w:val="000000"/>
          <w:spacing w:val="0"/>
          <w:w w:val="100"/>
          <w:position w:val="0"/>
        </w:rPr>
        <w:t>填报单位：</w:t>
      </w:r>
      <w:r>
        <w:rPr>
          <w:rFonts w:hint="eastAsia"/>
          <w:color w:val="000000"/>
          <w:spacing w:val="0"/>
          <w:w w:val="100"/>
          <w:position w:val="0"/>
          <w:lang w:eastAsia="zh-CN"/>
        </w:rPr>
        <w:t>中国共产党西安市莲湖区纪律检查委员会</w:t>
      </w:r>
      <w:r>
        <w:rPr>
          <w:rFonts w:ascii="Times New Roman" w:hAnsi="Times New Roman" w:eastAsia="Times New Roman" w:cs="Times New Roman"/>
          <w:color w:val="000000"/>
          <w:spacing w:val="0"/>
          <w:w w:val="100"/>
          <w:position w:val="0"/>
        </w:rPr>
        <w:tab/>
      </w:r>
      <w:r>
        <w:rPr>
          <w:color w:val="000000"/>
          <w:spacing w:val="0"/>
          <w:w w:val="100"/>
          <w:position w:val="0"/>
        </w:rPr>
        <w:t>自评得分：</w:t>
      </w:r>
      <w:r>
        <w:rPr>
          <w:rFonts w:hint="eastAsia"/>
          <w:color w:val="000000"/>
          <w:spacing w:val="0"/>
          <w:w w:val="100"/>
          <w:position w:val="0"/>
          <w:lang w:val="en-US" w:eastAsia="zh-CN"/>
        </w:rPr>
        <w:t>87</w:t>
      </w:r>
      <w:bookmarkStart w:id="70" w:name="_GoBack"/>
      <w:bookmarkEnd w:id="70"/>
    </w:p>
    <w:tbl>
      <w:tblPr>
        <w:tblStyle w:val="5"/>
        <w:tblW w:w="0" w:type="auto"/>
        <w:jc w:val="center"/>
        <w:tblLayout w:type="fixed"/>
        <w:tblCellMar>
          <w:top w:w="0" w:type="dxa"/>
          <w:left w:w="10" w:type="dxa"/>
          <w:bottom w:w="0" w:type="dxa"/>
          <w:right w:w="10" w:type="dxa"/>
        </w:tblCellMar>
      </w:tblPr>
      <w:tblGrid>
        <w:gridCol w:w="511"/>
        <w:gridCol w:w="626"/>
        <w:gridCol w:w="504"/>
        <w:gridCol w:w="324"/>
        <w:gridCol w:w="3290"/>
        <w:gridCol w:w="2650"/>
        <w:gridCol w:w="1066"/>
        <w:gridCol w:w="720"/>
        <w:gridCol w:w="713"/>
        <w:gridCol w:w="576"/>
        <w:gridCol w:w="1562"/>
        <w:gridCol w:w="1418"/>
      </w:tblGrid>
      <w:tr>
        <w:tblPrEx>
          <w:tblCellMar>
            <w:top w:w="0" w:type="dxa"/>
            <w:left w:w="10" w:type="dxa"/>
            <w:bottom w:w="0" w:type="dxa"/>
            <w:right w:w="10" w:type="dxa"/>
          </w:tblCellMar>
        </w:tblPrEx>
        <w:trPr>
          <w:trHeight w:val="418" w:hRule="exact"/>
          <w:jc w:val="center"/>
        </w:trPr>
        <w:tc>
          <w:tcPr>
            <w:gridSpan w:val="5"/>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（一）简要概述部门职能与职责.</w:t>
            </w:r>
          </w:p>
        </w:tc>
        <w:tc>
          <w:tcPr>
            <w:gridSpan w:val="7"/>
            <w:tcBorders>
              <w:top w:val="single" w:color="auto" w:sz="4" w:space="0"/>
              <w:left w:val="single" w:color="auto" w:sz="4" w:space="0"/>
              <w:right w:val="single" w:color="auto" w:sz="4" w:space="0"/>
            </w:tcBorders>
            <w:shd w:val="clear" w:color="auto" w:fill="FFFFFF"/>
            <w:vAlign w:val="top"/>
          </w:tcPr>
          <w:p>
            <w:pPr>
              <w:widowControl w:val="0"/>
              <w:rPr>
                <w:rFonts w:hint="eastAsia"/>
                <w:sz w:val="10"/>
                <w:szCs w:val="10"/>
                <w:lang w:val="en-US" w:eastAsia="zh-CN"/>
              </w:rPr>
            </w:pPr>
            <w:r>
              <w:rPr>
                <w:rFonts w:hint="eastAsia"/>
                <w:sz w:val="10"/>
                <w:szCs w:val="10"/>
                <w:lang w:val="en-US" w:eastAsia="zh-CN"/>
              </w:rPr>
              <w:t>负责全区党的纪律检查工作；依照党的章程和其他党内法规履行监督、执纪、问责职责。在区委领导下，配合区委巡察工作领导小组开展巡察工作。</w:t>
            </w:r>
          </w:p>
          <w:p>
            <w:pPr>
              <w:widowControl w:val="0"/>
              <w:rPr>
                <w:sz w:val="10"/>
                <w:szCs w:val="10"/>
              </w:rPr>
            </w:pPr>
            <w:r>
              <w:rPr>
                <w:rFonts w:hint="eastAsia"/>
                <w:sz w:val="10"/>
                <w:szCs w:val="10"/>
                <w:lang w:val="en-US" w:eastAsia="zh-CN"/>
              </w:rPr>
              <w:t>负责全区监察工作</w:t>
            </w:r>
          </w:p>
        </w:tc>
      </w:tr>
      <w:tr>
        <w:tblPrEx>
          <w:tblCellMar>
            <w:top w:w="0" w:type="dxa"/>
            <w:left w:w="10" w:type="dxa"/>
            <w:bottom w:w="0" w:type="dxa"/>
            <w:right w:w="10" w:type="dxa"/>
          </w:tblCellMar>
        </w:tblPrEx>
        <w:trPr>
          <w:trHeight w:val="389" w:hRule="exact"/>
          <w:jc w:val="center"/>
        </w:trPr>
        <w:tc>
          <w:tcPr>
            <w:gridSpan w:val="5"/>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（二）简要概述部门支出情况，按活动内容分类.</w:t>
            </w:r>
          </w:p>
        </w:tc>
        <w:tc>
          <w:tcPr>
            <w:gridSpan w:val="7"/>
            <w:tcBorders>
              <w:top w:val="single" w:color="auto" w:sz="4" w:space="0"/>
              <w:left w:val="single" w:color="auto" w:sz="4" w:space="0"/>
              <w:right w:val="single" w:color="auto" w:sz="4" w:space="0"/>
            </w:tcBorders>
            <w:shd w:val="clear" w:color="auto" w:fill="FFFFFF"/>
            <w:vAlign w:val="top"/>
          </w:tcPr>
          <w:p>
            <w:pPr>
              <w:widowControl w:val="0"/>
              <w:rPr>
                <w:sz w:val="10"/>
                <w:szCs w:val="10"/>
              </w:rPr>
            </w:pPr>
            <w:r>
              <w:rPr>
                <w:rFonts w:hint="eastAsia"/>
                <w:sz w:val="10"/>
                <w:szCs w:val="10"/>
              </w:rPr>
              <w:t>决算支出</w:t>
            </w:r>
            <w:r>
              <w:rPr>
                <w:rFonts w:hint="eastAsia"/>
                <w:sz w:val="10"/>
                <w:szCs w:val="10"/>
                <w:lang w:val="en-US" w:eastAsia="zh-CN"/>
              </w:rPr>
              <w:t>1350.04</w:t>
            </w:r>
            <w:r>
              <w:rPr>
                <w:rFonts w:hint="eastAsia"/>
                <w:sz w:val="10"/>
                <w:szCs w:val="10"/>
              </w:rPr>
              <w:t>万元（其中：基本支出</w:t>
            </w:r>
            <w:r>
              <w:rPr>
                <w:rFonts w:hint="eastAsia"/>
                <w:sz w:val="10"/>
                <w:szCs w:val="10"/>
                <w:lang w:val="en-US" w:eastAsia="zh-CN"/>
              </w:rPr>
              <w:t>1166.44</w:t>
            </w:r>
            <w:r>
              <w:rPr>
                <w:rFonts w:hint="eastAsia"/>
                <w:sz w:val="10"/>
                <w:szCs w:val="10"/>
              </w:rPr>
              <w:t>万元；项目支出</w:t>
            </w:r>
            <w:r>
              <w:rPr>
                <w:rFonts w:hint="eastAsia"/>
                <w:sz w:val="10"/>
                <w:szCs w:val="10"/>
                <w:lang w:val="en-US" w:eastAsia="zh-CN"/>
              </w:rPr>
              <w:t>183.6</w:t>
            </w:r>
            <w:r>
              <w:rPr>
                <w:rFonts w:hint="eastAsia"/>
                <w:sz w:val="10"/>
                <w:szCs w:val="10"/>
              </w:rPr>
              <w:t>万元）</w:t>
            </w:r>
          </w:p>
        </w:tc>
      </w:tr>
      <w:tr>
        <w:tblPrEx>
          <w:tblCellMar>
            <w:top w:w="0" w:type="dxa"/>
            <w:left w:w="10" w:type="dxa"/>
            <w:bottom w:w="0" w:type="dxa"/>
            <w:right w:w="10" w:type="dxa"/>
          </w:tblCellMar>
        </w:tblPrEx>
        <w:trPr>
          <w:trHeight w:val="389" w:hRule="exact"/>
          <w:jc w:val="center"/>
        </w:trPr>
        <w:tc>
          <w:tcPr>
            <w:gridSpan w:val="5"/>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（三）简要概述当年</w:t>
            </w:r>
            <w:r>
              <w:rPr>
                <w:rFonts w:hint="eastAsia"/>
                <w:color w:val="000000"/>
                <w:spacing w:val="0"/>
                <w:w w:val="100"/>
                <w:position w:val="0"/>
                <w:sz w:val="16"/>
                <w:szCs w:val="16"/>
                <w:lang w:eastAsia="zh-CN"/>
              </w:rPr>
              <w:t>区</w:t>
            </w:r>
            <w:r>
              <w:rPr>
                <w:color w:val="000000"/>
                <w:spacing w:val="0"/>
                <w:w w:val="100"/>
                <w:position w:val="0"/>
                <w:sz w:val="16"/>
                <w:szCs w:val="16"/>
              </w:rPr>
              <w:t>委</w:t>
            </w:r>
            <w:r>
              <w:rPr>
                <w:rFonts w:hint="eastAsia"/>
                <w:color w:val="000000"/>
                <w:spacing w:val="0"/>
                <w:w w:val="100"/>
                <w:position w:val="0"/>
                <w:sz w:val="16"/>
                <w:szCs w:val="16"/>
                <w:lang w:eastAsia="zh-CN"/>
              </w:rPr>
              <w:t>区</w:t>
            </w:r>
            <w:r>
              <w:rPr>
                <w:color w:val="000000"/>
                <w:spacing w:val="0"/>
                <w:w w:val="100"/>
                <w:position w:val="0"/>
                <w:sz w:val="16"/>
                <w:szCs w:val="16"/>
              </w:rPr>
              <w:t>政府下达的重点工作.</w:t>
            </w:r>
          </w:p>
        </w:tc>
        <w:tc>
          <w:tcPr>
            <w:gridSpan w:val="7"/>
            <w:tcBorders>
              <w:top w:val="single" w:color="auto" w:sz="4" w:space="0"/>
              <w:left w:val="single" w:color="auto" w:sz="4" w:space="0"/>
              <w:right w:val="single" w:color="auto" w:sz="4" w:space="0"/>
            </w:tcBorders>
            <w:shd w:val="clear" w:color="auto" w:fill="FFFFFF"/>
            <w:vAlign w:val="top"/>
          </w:tcPr>
          <w:p>
            <w:pPr>
              <w:widowControl w:val="0"/>
              <w:rPr>
                <w:rFonts w:hint="eastAsia" w:eastAsia="宋体"/>
                <w:sz w:val="10"/>
                <w:szCs w:val="10"/>
                <w:lang w:eastAsia="zh-CN"/>
              </w:rPr>
            </w:pPr>
            <w:r>
              <w:rPr>
                <w:rFonts w:hint="eastAsia" w:eastAsia="宋体"/>
                <w:sz w:val="10"/>
                <w:szCs w:val="10"/>
                <w:lang w:eastAsia="zh-CN"/>
              </w:rPr>
              <w:t>做好上级在我区巡视工作</w:t>
            </w:r>
          </w:p>
        </w:tc>
      </w:tr>
      <w:tr>
        <w:tblPrEx>
          <w:tblCellMar>
            <w:top w:w="0" w:type="dxa"/>
            <w:left w:w="10" w:type="dxa"/>
            <w:bottom w:w="0" w:type="dxa"/>
            <w:right w:w="10" w:type="dxa"/>
          </w:tblCellMar>
        </w:tblPrEx>
        <w:trPr>
          <w:trHeight w:val="706"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02" w:lineRule="exact"/>
              <w:ind w:left="0" w:right="0" w:firstLine="140"/>
              <w:jc w:val="left"/>
              <w:rPr>
                <w:sz w:val="17"/>
                <w:szCs w:val="17"/>
              </w:rPr>
            </w:pPr>
            <w:r>
              <w:rPr>
                <w:color w:val="000000"/>
                <w:spacing w:val="0"/>
                <w:w w:val="100"/>
                <w:position w:val="0"/>
                <w:sz w:val="17"/>
                <w:szCs w:val="17"/>
              </w:rPr>
              <w:t>级标一 二指</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both"/>
              <w:rPr>
                <w:sz w:val="16"/>
                <w:szCs w:val="16"/>
              </w:rPr>
            </w:pPr>
            <w:r>
              <w:rPr>
                <w:color w:val="000000"/>
                <w:spacing w:val="0"/>
                <w:w w:val="100"/>
                <w:position w:val="0"/>
                <w:sz w:val="16"/>
                <w:szCs w:val="16"/>
              </w:rPr>
              <w:t>三级 指标</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分值</w:t>
            </w:r>
            <w:r>
              <w:rPr>
                <w:color w:val="000000"/>
                <w:spacing w:val="0"/>
                <w:w w:val="100"/>
                <w:position w:val="0"/>
                <w:sz w:val="17"/>
                <w:szCs w:val="17"/>
                <w:lang w:val="zh-CN" w:eastAsia="zh-CN" w:bidi="zh-CN"/>
              </w:rPr>
              <w:t>-</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top"/>
          </w:tcPr>
          <w:p>
            <w:pPr>
              <w:pStyle w:val="22"/>
              <w:keepNext w:val="0"/>
              <w:keepLines w:val="0"/>
              <w:widowControl w:val="0"/>
              <w:shd w:val="clear" w:color="auto" w:fill="auto"/>
              <w:bidi w:val="0"/>
              <w:spacing w:before="0" w:after="0" w:line="212" w:lineRule="exact"/>
              <w:ind w:left="0" w:right="0" w:firstLine="0"/>
              <w:jc w:val="left"/>
              <w:rPr>
                <w:sz w:val="16"/>
                <w:szCs w:val="16"/>
              </w:rPr>
            </w:pPr>
            <w:r>
              <w:rPr>
                <w:color w:val="000000"/>
                <w:spacing w:val="0"/>
                <w:w w:val="100"/>
                <w:position w:val="0"/>
                <w:sz w:val="16"/>
                <w:szCs w:val="16"/>
              </w:rPr>
              <w:t>指标值计算 公式和数据 获取方式</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9" w:lineRule="exact"/>
              <w:ind w:left="0" w:right="0" w:firstLine="0"/>
              <w:jc w:val="center"/>
              <w:rPr>
                <w:sz w:val="16"/>
                <w:szCs w:val="16"/>
              </w:rPr>
            </w:pPr>
            <w:r>
              <w:rPr>
                <w:color w:val="000000"/>
                <w:spacing w:val="0"/>
                <w:w w:val="100"/>
                <w:position w:val="0"/>
                <w:sz w:val="16"/>
                <w:szCs w:val="16"/>
              </w:rPr>
              <w:t>年初目 标值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9" w:lineRule="exact"/>
              <w:ind w:left="0" w:right="0" w:firstLine="0"/>
              <w:jc w:val="center"/>
              <w:rPr>
                <w:sz w:val="16"/>
                <w:szCs w:val="16"/>
              </w:rPr>
            </w:pPr>
            <w:r>
              <w:rPr>
                <w:color w:val="000000"/>
                <w:spacing w:val="0"/>
                <w:w w:val="100"/>
                <w:position w:val="0"/>
                <w:sz w:val="16"/>
                <w:szCs w:val="16"/>
              </w:rPr>
              <w:t>实际完 成值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2405" w:hRule="exact"/>
          <w:jc w:val="center"/>
        </w:trPr>
        <w:tc>
          <w:tcPr>
            <w:vMerge w:val="restart"/>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投入</w:t>
            </w:r>
          </w:p>
        </w:tc>
        <w:tc>
          <w:tcPr>
            <w:vMerge w:val="restart"/>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5" w:lineRule="exact"/>
              <w:ind w:left="0" w:right="0" w:firstLine="0"/>
              <w:jc w:val="both"/>
              <w:rPr>
                <w:sz w:val="16"/>
                <w:szCs w:val="16"/>
              </w:rPr>
            </w:pPr>
            <w:r>
              <w:rPr>
                <w:color w:val="000000"/>
                <w:spacing w:val="0"/>
                <w:w w:val="100"/>
                <w:position w:val="0"/>
                <w:sz w:val="16"/>
                <w:szCs w:val="16"/>
                <w:lang w:val="zh-CN" w:eastAsia="zh-CN" w:bidi="zh-CN"/>
              </w:rPr>
              <w:t xml:space="preserve">预算执 </w:t>
            </w:r>
            <w:r>
              <w:rPr>
                <w:color w:val="000000"/>
                <w:spacing w:val="0"/>
                <w:w w:val="100"/>
                <w:position w:val="0"/>
                <w:sz w:val="16"/>
                <w:szCs w:val="16"/>
              </w:rPr>
              <w:t>行（</w:t>
            </w:r>
            <w:r>
              <w:rPr>
                <w:b/>
                <w:bCs/>
                <w:color w:val="000000"/>
                <w:spacing w:val="0"/>
                <w:w w:val="100"/>
                <w:position w:val="0"/>
                <w:sz w:val="18"/>
                <w:szCs w:val="18"/>
              </w:rPr>
              <w:t xml:space="preserve">25 </w:t>
            </w:r>
            <w:r>
              <w:rPr>
                <w:color w:val="000000"/>
                <w:spacing w:val="0"/>
                <w:w w:val="100"/>
                <w:position w:val="0"/>
                <w:sz w:val="16"/>
                <w:szCs w:val="16"/>
              </w:rPr>
              <w:t>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16" w:lineRule="exact"/>
              <w:ind w:left="0" w:right="0" w:firstLine="0"/>
              <w:jc w:val="center"/>
            </w:pPr>
            <w:r>
              <w:rPr>
                <w:color w:val="000000"/>
                <w:spacing w:val="0"/>
                <w:w w:val="100"/>
                <w:position w:val="0"/>
              </w:rPr>
              <w:t>算成</w:t>
            </w:r>
            <w:r>
              <w:rPr>
                <w:b/>
                <w:bCs/>
                <w:color w:val="000000"/>
                <w:spacing w:val="0"/>
                <w:w w:val="100"/>
                <w:position w:val="0"/>
                <w:sz w:val="18"/>
                <w:szCs w:val="18"/>
              </w:rPr>
              <w:t xml:space="preserve">10) </w:t>
            </w:r>
            <w:r>
              <w:rPr>
                <w:color w:val="000000"/>
                <w:spacing w:val="0"/>
                <w:w w:val="100"/>
                <w:position w:val="0"/>
                <w:u w:val="single"/>
              </w:rPr>
              <w:t>预完率</w:t>
            </w:r>
            <w:r>
              <w:rPr>
                <w:b/>
                <w:bCs/>
                <w:color w:val="000000"/>
                <w:spacing w:val="0"/>
                <w:w w:val="100"/>
                <w:position w:val="0"/>
                <w:sz w:val="18"/>
                <w:szCs w:val="18"/>
                <w:u w:val="single"/>
              </w:rPr>
              <w:t>1</w:t>
            </w:r>
            <w:r>
              <w:rPr>
                <w:color w:val="000000"/>
                <w:spacing w:val="0"/>
                <w:w w:val="100"/>
                <w:position w:val="0"/>
                <w:u w:val="single"/>
              </w:rPr>
              <w:t>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10</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 xml:space="preserve">预算完成率=（预算完成数/预算數） </w:t>
            </w:r>
            <w:r>
              <w:rPr>
                <w:b/>
                <w:bCs/>
                <w:color w:val="000000"/>
                <w:spacing w:val="0"/>
                <w:w w:val="100"/>
                <w:position w:val="0"/>
                <w:sz w:val="18"/>
                <w:szCs w:val="18"/>
              </w:rPr>
              <w:t>X 100%,</w:t>
            </w:r>
            <w:r>
              <w:rPr>
                <w:color w:val="000000"/>
                <w:spacing w:val="0"/>
                <w:w w:val="100"/>
                <w:position w:val="0"/>
                <w:sz w:val="16"/>
                <w:szCs w:val="16"/>
              </w:rPr>
              <w:t>用以反映和考核部门（单位） 预算完成程度.</w:t>
            </w:r>
          </w:p>
          <w:p>
            <w:pPr>
              <w:pStyle w:val="2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预算完成数：部门（单位）本年度实际 完成的预算数.</w:t>
            </w:r>
          </w:p>
          <w:p>
            <w:pPr>
              <w:pStyle w:val="2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预算数：财政部门批复的本年度部门 （单位）预算数。</w:t>
            </w:r>
          </w:p>
        </w:tc>
        <w:tc>
          <w:tcPr>
            <w:tcBorders>
              <w:top w:val="single" w:color="auto" w:sz="4" w:space="0"/>
              <w:left w:val="single" w:color="auto" w:sz="4" w:space="0"/>
            </w:tcBorders>
            <w:shd w:val="clear" w:color="auto" w:fill="FFFFFF"/>
            <w:vAlign w:val="bottom"/>
          </w:tcPr>
          <w:p>
            <w:pPr>
              <w:pStyle w:val="2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w:t>
            </w:r>
            <w:r>
              <w:rPr>
                <w:b/>
                <w:bCs/>
                <w:color w:val="000000"/>
                <w:spacing w:val="0"/>
                <w:w w:val="100"/>
                <w:position w:val="0"/>
                <w:sz w:val="18"/>
                <w:szCs w:val="18"/>
              </w:rPr>
              <w:t>100%</w:t>
            </w:r>
            <w:r>
              <w:rPr>
                <w:color w:val="000000"/>
                <w:spacing w:val="0"/>
                <w:w w:val="100"/>
                <w:position w:val="0"/>
                <w:sz w:val="16"/>
                <w:szCs w:val="16"/>
              </w:rPr>
              <w:t>的，得</w:t>
            </w:r>
            <w:r>
              <w:rPr>
                <w:b/>
                <w:bCs/>
                <w:color w:val="000000"/>
                <w:spacing w:val="0"/>
                <w:w w:val="100"/>
                <w:position w:val="0"/>
                <w:sz w:val="18"/>
                <w:szCs w:val="18"/>
              </w:rPr>
              <w:t>10</w:t>
            </w:r>
            <w:r>
              <w:rPr>
                <w:color w:val="000000"/>
                <w:spacing w:val="0"/>
                <w:w w:val="100"/>
                <w:position w:val="0"/>
                <w:sz w:val="16"/>
                <w:szCs w:val="16"/>
              </w:rPr>
              <w:t>分. 预算完成率</w:t>
            </w:r>
            <w:r>
              <w:rPr>
                <w:b/>
                <w:bCs/>
                <w:color w:val="000000"/>
                <w:spacing w:val="0"/>
                <w:w w:val="100"/>
                <w:position w:val="0"/>
                <w:sz w:val="18"/>
                <w:szCs w:val="18"/>
              </w:rPr>
              <w:t>＞95%</w:t>
            </w:r>
            <w:r>
              <w:rPr>
                <w:color w:val="000000"/>
                <w:spacing w:val="0"/>
                <w:w w:val="100"/>
                <w:position w:val="0"/>
                <w:sz w:val="16"/>
                <w:szCs w:val="16"/>
              </w:rPr>
              <w:t>的，得</w:t>
            </w:r>
            <w:r>
              <w:rPr>
                <w:b/>
                <w:bCs/>
                <w:color w:val="000000"/>
                <w:spacing w:val="0"/>
                <w:w w:val="100"/>
                <w:position w:val="0"/>
                <w:sz w:val="18"/>
                <w:szCs w:val="18"/>
              </w:rPr>
              <w:t>9</w:t>
            </w:r>
            <w:r>
              <w:rPr>
                <w:color w:val="000000"/>
                <w:spacing w:val="0"/>
                <w:w w:val="100"/>
                <w:position w:val="0"/>
                <w:sz w:val="16"/>
                <w:szCs w:val="16"/>
              </w:rPr>
              <w:t>分. 预算完成率在</w:t>
            </w:r>
            <w:r>
              <w:rPr>
                <w:b/>
                <w:bCs/>
                <w:color w:val="000000"/>
                <w:spacing w:val="0"/>
                <w:w w:val="100"/>
                <w:position w:val="0"/>
                <w:sz w:val="18"/>
                <w:szCs w:val="18"/>
              </w:rPr>
              <w:t xml:space="preserve">90% </w:t>
            </w:r>
            <w:r>
              <w:rPr>
                <w:color w:val="000000"/>
                <w:spacing w:val="0"/>
                <w:w w:val="100"/>
                <w:position w:val="0"/>
                <w:sz w:val="16"/>
                <w:szCs w:val="16"/>
              </w:rPr>
              <w:t>（含）和</w:t>
            </w:r>
            <w:r>
              <w:rPr>
                <w:b/>
                <w:bCs/>
                <w:color w:val="000000"/>
                <w:spacing w:val="0"/>
                <w:w w:val="100"/>
                <w:position w:val="0"/>
                <w:sz w:val="18"/>
                <w:szCs w:val="18"/>
              </w:rPr>
              <w:t>95%</w:t>
            </w:r>
            <w:r>
              <w:rPr>
                <w:color w:val="000000"/>
                <w:spacing w:val="0"/>
                <w:w w:val="100"/>
                <w:position w:val="0"/>
                <w:sz w:val="16"/>
                <w:szCs w:val="16"/>
              </w:rPr>
              <w:t>之 间，得</w:t>
            </w:r>
            <w:r>
              <w:rPr>
                <w:b/>
                <w:bCs/>
                <w:color w:val="000000"/>
                <w:spacing w:val="0"/>
                <w:w w:val="100"/>
                <w:position w:val="0"/>
                <w:sz w:val="18"/>
                <w:szCs w:val="18"/>
              </w:rPr>
              <w:t>8</w:t>
            </w:r>
            <w:r>
              <w:rPr>
                <w:color w:val="000000"/>
                <w:spacing w:val="0"/>
                <w:w w:val="100"/>
                <w:position w:val="0"/>
                <w:sz w:val="16"/>
                <w:szCs w:val="16"/>
              </w:rPr>
              <w:t>分。</w:t>
            </w:r>
          </w:p>
          <w:p>
            <w:pPr>
              <w:pStyle w:val="2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 xml:space="preserve">85% </w:t>
            </w:r>
            <w:r>
              <w:rPr>
                <w:color w:val="000000"/>
                <w:spacing w:val="0"/>
                <w:w w:val="100"/>
                <w:position w:val="0"/>
                <w:sz w:val="16"/>
                <w:szCs w:val="16"/>
              </w:rPr>
              <w:t>（含）和</w:t>
            </w:r>
            <w:r>
              <w:rPr>
                <w:b/>
                <w:bCs/>
                <w:color w:val="000000"/>
                <w:spacing w:val="0"/>
                <w:w w:val="100"/>
                <w:position w:val="0"/>
                <w:sz w:val="18"/>
                <w:szCs w:val="18"/>
              </w:rPr>
              <w:t>90%</w:t>
            </w:r>
            <w:r>
              <w:rPr>
                <w:color w:val="000000"/>
                <w:spacing w:val="0"/>
                <w:w w:val="100"/>
                <w:position w:val="0"/>
                <w:sz w:val="16"/>
                <w:szCs w:val="16"/>
              </w:rPr>
              <w:t>之 间，得</w:t>
            </w:r>
            <w:r>
              <w:rPr>
                <w:b/>
                <w:bCs/>
                <w:color w:val="000000"/>
                <w:spacing w:val="0"/>
                <w:w w:val="100"/>
                <w:position w:val="0"/>
                <w:sz w:val="18"/>
                <w:szCs w:val="18"/>
              </w:rPr>
              <w:t>7</w:t>
            </w:r>
            <w:r>
              <w:rPr>
                <w:color w:val="000000"/>
                <w:spacing w:val="0"/>
                <w:w w:val="100"/>
                <w:position w:val="0"/>
                <w:sz w:val="16"/>
                <w:szCs w:val="16"/>
              </w:rPr>
              <w:t>分.</w:t>
            </w:r>
          </w:p>
          <w:p>
            <w:pPr>
              <w:pStyle w:val="2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80% （</w:t>
            </w:r>
            <w:r>
              <w:rPr>
                <w:color w:val="000000"/>
                <w:spacing w:val="0"/>
                <w:w w:val="100"/>
                <w:position w:val="0"/>
                <w:sz w:val="16"/>
                <w:szCs w:val="16"/>
              </w:rPr>
              <w:t>含）和</w:t>
            </w:r>
            <w:r>
              <w:rPr>
                <w:b/>
                <w:bCs/>
                <w:color w:val="000000"/>
                <w:spacing w:val="0"/>
                <w:w w:val="100"/>
                <w:position w:val="0"/>
                <w:sz w:val="18"/>
                <w:szCs w:val="18"/>
              </w:rPr>
              <w:t>85%</w:t>
            </w:r>
            <w:r>
              <w:rPr>
                <w:color w:val="000000"/>
                <w:spacing w:val="0"/>
                <w:w w:val="100"/>
                <w:position w:val="0"/>
                <w:sz w:val="16"/>
                <w:szCs w:val="16"/>
              </w:rPr>
              <w:t>之 间，得</w:t>
            </w:r>
            <w:r>
              <w:rPr>
                <w:b/>
                <w:bCs/>
                <w:color w:val="000000"/>
                <w:spacing w:val="0"/>
                <w:w w:val="100"/>
                <w:position w:val="0"/>
                <w:sz w:val="18"/>
                <w:szCs w:val="18"/>
              </w:rPr>
              <w:t>6</w:t>
            </w:r>
            <w:r>
              <w:rPr>
                <w:color w:val="000000"/>
                <w:spacing w:val="0"/>
                <w:w w:val="100"/>
                <w:position w:val="0"/>
                <w:sz w:val="16"/>
                <w:szCs w:val="16"/>
              </w:rPr>
              <w:t>分.</w:t>
            </w:r>
          </w:p>
          <w:p>
            <w:pPr>
              <w:pStyle w:val="2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70% （</w:t>
            </w:r>
            <w:r>
              <w:rPr>
                <w:color w:val="000000"/>
                <w:spacing w:val="0"/>
                <w:w w:val="100"/>
                <w:position w:val="0"/>
                <w:sz w:val="16"/>
                <w:szCs w:val="16"/>
              </w:rPr>
              <w:t>含</w:t>
            </w:r>
            <w:r>
              <w:rPr>
                <w:b/>
                <w:bCs/>
                <w:i/>
                <w:iCs/>
                <w:color w:val="000000"/>
                <w:spacing w:val="0"/>
                <w:w w:val="100"/>
                <w:position w:val="0"/>
                <w:sz w:val="18"/>
                <w:szCs w:val="18"/>
              </w:rPr>
              <w:t>）</w:t>
            </w:r>
            <w:r>
              <w:rPr>
                <w:color w:val="000000"/>
                <w:spacing w:val="0"/>
                <w:w w:val="100"/>
                <w:position w:val="0"/>
                <w:sz w:val="16"/>
                <w:szCs w:val="16"/>
              </w:rPr>
              <w:t>和</w:t>
            </w:r>
            <w:r>
              <w:rPr>
                <w:b/>
                <w:bCs/>
                <w:color w:val="000000"/>
                <w:spacing w:val="0"/>
                <w:w w:val="100"/>
                <w:position w:val="0"/>
                <w:sz w:val="18"/>
                <w:szCs w:val="18"/>
              </w:rPr>
              <w:t>80%</w:t>
            </w:r>
            <w:r>
              <w:rPr>
                <w:color w:val="000000"/>
                <w:spacing w:val="0"/>
                <w:w w:val="100"/>
                <w:position w:val="0"/>
                <w:sz w:val="16"/>
                <w:szCs w:val="16"/>
              </w:rPr>
              <w:t>之 间，得</w:t>
            </w:r>
            <w:r>
              <w:rPr>
                <w:b/>
                <w:bCs/>
                <w:color w:val="000000"/>
                <w:spacing w:val="0"/>
                <w:w w:val="100"/>
                <w:position w:val="0"/>
                <w:sz w:val="18"/>
                <w:szCs w:val="18"/>
              </w:rPr>
              <w:t>4</w:t>
            </w:r>
            <w:r>
              <w:rPr>
                <w:color w:val="000000"/>
                <w:spacing w:val="0"/>
                <w:w w:val="100"/>
                <w:position w:val="0"/>
                <w:sz w:val="16"/>
                <w:szCs w:val="16"/>
              </w:rPr>
              <w:t>分.</w:t>
            </w:r>
          </w:p>
          <w:p>
            <w:pPr>
              <w:pStyle w:val="22"/>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w:t>
            </w:r>
            <w:r>
              <w:rPr>
                <w:b/>
                <w:bCs/>
                <w:color w:val="000000"/>
                <w:spacing w:val="0"/>
                <w:w w:val="100"/>
                <w:position w:val="0"/>
                <w:sz w:val="18"/>
                <w:szCs w:val="18"/>
              </w:rPr>
              <w:t>＜70%</w:t>
            </w:r>
            <w:r>
              <w:rPr>
                <w:color w:val="000000"/>
                <w:spacing w:val="0"/>
                <w:w w:val="100"/>
                <w:position w:val="0"/>
                <w:sz w:val="16"/>
                <w:szCs w:val="16"/>
              </w:rPr>
              <w:t>的，得</w:t>
            </w:r>
            <w:r>
              <w:rPr>
                <w:b/>
                <w:bCs/>
                <w:color w:val="000000"/>
                <w:spacing w:val="0"/>
                <w:w w:val="100"/>
                <w:position w:val="0"/>
                <w:sz w:val="18"/>
                <w:szCs w:val="18"/>
              </w:rPr>
              <w:t>0</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top"/>
          </w:tcPr>
          <w:p>
            <w:pPr>
              <w:widowControl w:val="0"/>
              <w:rPr>
                <w:rFonts w:hint="eastAsia" w:eastAsia="宋体"/>
                <w:sz w:val="20"/>
                <w:szCs w:val="20"/>
                <w:lang w:val="en-US" w:eastAsia="zh-CN"/>
              </w:rPr>
            </w:pPr>
            <w:r>
              <w:rPr>
                <w:rFonts w:hint="eastAsia" w:eastAsia="宋体"/>
                <w:sz w:val="20"/>
                <w:szCs w:val="20"/>
                <w:lang w:val="en-US" w:eastAsia="zh-CN"/>
              </w:rPr>
              <w:t>761.78/761.78=100%</w:t>
            </w:r>
          </w:p>
          <w:p>
            <w:pPr>
              <w:widowControl w:val="0"/>
              <w:rPr>
                <w:rFonts w:hint="eastAsia" w:eastAsia="宋体"/>
                <w:sz w:val="20"/>
                <w:szCs w:val="20"/>
                <w:lang w:val="en-US" w:eastAsia="zh-CN"/>
              </w:rPr>
            </w:pPr>
          </w:p>
          <w:p>
            <w:pPr>
              <w:widowControl w:val="0"/>
              <w:rPr>
                <w:rFonts w:hint="default" w:eastAsia="宋体"/>
                <w:sz w:val="20"/>
                <w:szCs w:val="20"/>
                <w:lang w:val="en-US" w:eastAsia="zh-CN"/>
              </w:rPr>
            </w:pPr>
            <w:r>
              <w:rPr>
                <w:rFonts w:hint="eastAsia" w:eastAsia="宋体"/>
                <w:sz w:val="20"/>
                <w:szCs w:val="20"/>
                <w:lang w:val="en-US" w:eastAsia="zh-CN"/>
              </w:rPr>
              <w:t>依据19年决算</w:t>
            </w:r>
          </w:p>
          <w:p>
            <w:pPr>
              <w:widowControl w:val="0"/>
              <w:rPr>
                <w:rFonts w:hint="default" w:eastAsia="宋体"/>
                <w:sz w:val="10"/>
                <w:szCs w:val="10"/>
                <w:lang w:val="en-US" w:eastAsia="zh-CN"/>
              </w:rPr>
            </w:pP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100%</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100%</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10</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2182" w:hRule="exact"/>
          <w:jc w:val="center"/>
        </w:trPr>
        <w:tc>
          <w:tcPr>
            <w:vMerge w:val="continue"/>
            <w:tcBorders>
              <w:left w:val="single" w:color="auto" w:sz="4" w:space="0"/>
              <w:bottom w:val="single" w:color="auto" w:sz="4" w:space="0"/>
            </w:tcBorders>
            <w:shd w:val="clear" w:color="auto" w:fill="FFFFFF"/>
            <w:textDirection w:val="tbRlV"/>
            <w:vAlign w:val="bottom"/>
          </w:tcPr>
          <w:p/>
        </w:tc>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73" w:lineRule="exact"/>
              <w:ind w:left="0" w:right="0" w:firstLine="0"/>
              <w:jc w:val="center"/>
            </w:pPr>
            <w:r>
              <w:rPr>
                <w:color w:val="000000"/>
                <w:spacing w:val="0"/>
                <w:w w:val="100"/>
                <w:position w:val="0"/>
              </w:rPr>
              <w:t xml:space="preserve">算整 </w:t>
            </w:r>
            <w:r>
              <w:rPr>
                <w:b/>
                <w:bCs/>
                <w:color w:val="000000"/>
                <w:spacing w:val="0"/>
                <w:w w:val="100"/>
                <w:position w:val="0"/>
                <w:sz w:val="18"/>
                <w:szCs w:val="18"/>
              </w:rPr>
              <w:t xml:space="preserve">5 ) </w:t>
            </w:r>
            <w:r>
              <w:rPr>
                <w:color w:val="000000"/>
                <w:spacing w:val="0"/>
                <w:w w:val="100"/>
                <w:position w:val="0"/>
              </w:rPr>
              <w:t>预调率{分</w:t>
            </w:r>
          </w:p>
        </w:tc>
        <w:tc>
          <w:tcPr>
            <w:tcBorders>
              <w:top w:val="single" w:color="auto" w:sz="4" w:space="0"/>
              <w:left w:val="single" w:color="auto" w:sz="4" w:space="0"/>
              <w:bottom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pStyle w:val="22"/>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 xml:space="preserve">预算调終率-（预算调整数/预算数） </w:t>
            </w:r>
            <w:r>
              <w:rPr>
                <w:b/>
                <w:bCs/>
                <w:color w:val="000000"/>
                <w:spacing w:val="0"/>
                <w:w w:val="100"/>
                <w:position w:val="0"/>
                <w:sz w:val="18"/>
                <w:szCs w:val="18"/>
                <w:lang w:val="en-US" w:eastAsia="en-US" w:bidi="en-US"/>
              </w:rPr>
              <w:t>X100%,</w:t>
            </w:r>
            <w:r>
              <w:rPr>
                <w:color w:val="000000"/>
                <w:spacing w:val="0"/>
                <w:w w:val="100"/>
                <w:position w:val="0"/>
                <w:sz w:val="16"/>
                <w:szCs w:val="16"/>
              </w:rPr>
              <w:t>用以反映和考核部门（单位） 预算的调整程度。</w:t>
            </w:r>
          </w:p>
          <w:p>
            <w:pPr>
              <w:pStyle w:val="22"/>
              <w:keepNext w:val="0"/>
              <w:keepLines w:val="0"/>
              <w:widowControl w:val="0"/>
              <w:shd w:val="clear" w:color="auto" w:fill="auto"/>
              <w:bidi w:val="0"/>
              <w:spacing w:before="0" w:after="0" w:line="208" w:lineRule="exact"/>
              <w:ind w:left="0" w:right="0" w:firstLine="0"/>
              <w:jc w:val="both"/>
              <w:rPr>
                <w:sz w:val="16"/>
                <w:szCs w:val="16"/>
              </w:rPr>
            </w:pPr>
            <w:r>
              <w:rPr>
                <w:color w:val="000000"/>
                <w:spacing w:val="0"/>
                <w:w w:val="100"/>
                <w:position w:val="0"/>
                <w:sz w:val="16"/>
                <w:szCs w:val="16"/>
              </w:rPr>
              <w:t>预算调整数：部门（单位）在本年度内 涉及预算的追加、追减或结构调整的资 金总和（因落实国家政策、发生不可抗 力、上级部门或本级党委政府临时交办 而产生的调整除外）</w:t>
            </w:r>
            <w:r>
              <w:rPr>
                <w:color w:val="000000"/>
                <w:spacing w:val="0"/>
                <w:w w:val="100"/>
                <w:position w:val="0"/>
                <w:sz w:val="16"/>
                <w:szCs w:val="16"/>
                <w:lang w:val="en-US" w:eastAsia="en-US" w:bidi="en-US"/>
              </w:rPr>
              <w:t>.</w:t>
            </w:r>
          </w:p>
          <w:p>
            <w:pPr>
              <w:pStyle w:val="22"/>
              <w:keepNext w:val="0"/>
              <w:keepLines w:val="0"/>
              <w:widowControl w:val="0"/>
              <w:shd w:val="clear" w:color="auto" w:fill="auto"/>
              <w:bidi w:val="0"/>
              <w:spacing w:before="0" w:after="0" w:line="208" w:lineRule="exact"/>
              <w:ind w:left="0" w:right="0" w:firstLine="0"/>
              <w:jc w:val="both"/>
              <w:rPr>
                <w:sz w:val="16"/>
                <w:szCs w:val="16"/>
              </w:rPr>
            </w:pPr>
            <w:r>
              <w:rPr>
                <w:color w:val="000000"/>
                <w:spacing w:val="0"/>
                <w:w w:val="100"/>
                <w:position w:val="0"/>
                <w:sz w:val="16"/>
                <w:szCs w:val="16"/>
              </w:rPr>
              <w:t>预算包括一般公共预算与政府，性基金预 算.</w:t>
            </w:r>
          </w:p>
        </w:tc>
        <w:tc>
          <w:tcPr>
            <w:tcBorders>
              <w:top w:val="single" w:color="auto" w:sz="4" w:space="0"/>
              <w:left w:val="single" w:color="auto" w:sz="4" w:space="0"/>
              <w:bottom w:val="single" w:color="auto" w:sz="4" w:space="0"/>
            </w:tcBorders>
            <w:shd w:val="clear" w:color="auto" w:fill="FFFFFF"/>
            <w:vAlign w:val="center"/>
          </w:tcPr>
          <w:p>
            <w:pPr>
              <w:pStyle w:val="22"/>
              <w:keepNext w:val="0"/>
              <w:keepLines w:val="0"/>
              <w:widowControl w:val="0"/>
              <w:shd w:val="clear" w:color="auto" w:fill="auto"/>
              <w:bidi w:val="0"/>
              <w:spacing w:before="0" w:after="0" w:line="286" w:lineRule="exact"/>
              <w:ind w:left="0" w:right="0" w:firstLine="0"/>
              <w:jc w:val="left"/>
              <w:rPr>
                <w:sz w:val="16"/>
                <w:szCs w:val="16"/>
              </w:rPr>
            </w:pPr>
            <w:r>
              <w:rPr>
                <w:color w:val="000000"/>
                <w:spacing w:val="0"/>
                <w:w w:val="100"/>
                <w:position w:val="0"/>
                <w:sz w:val="16"/>
                <w:szCs w:val="16"/>
              </w:rPr>
              <w:t>预算调整率绝对值</w:t>
            </w:r>
            <w:r>
              <w:rPr>
                <w:b/>
                <w:bCs/>
                <w:color w:val="000000"/>
                <w:spacing w:val="0"/>
                <w:w w:val="100"/>
                <w:position w:val="0"/>
                <w:sz w:val="18"/>
                <w:szCs w:val="18"/>
              </w:rPr>
              <w:t>＜5%,</w:t>
            </w:r>
            <w:r>
              <w:rPr>
                <w:color w:val="000000"/>
                <w:spacing w:val="0"/>
                <w:w w:val="100"/>
                <w:position w:val="0"/>
                <w:sz w:val="16"/>
                <w:szCs w:val="16"/>
              </w:rPr>
              <w:t>得</w:t>
            </w:r>
            <w:r>
              <w:rPr>
                <w:b/>
                <w:bCs/>
                <w:color w:val="000000"/>
                <w:spacing w:val="0"/>
                <w:w w:val="100"/>
                <w:position w:val="0"/>
                <w:sz w:val="18"/>
                <w:szCs w:val="18"/>
              </w:rPr>
              <w:t>5</w:t>
            </w:r>
            <w:r>
              <w:rPr>
                <w:color w:val="000000"/>
                <w:spacing w:val="0"/>
                <w:w w:val="100"/>
                <w:position w:val="0"/>
                <w:sz w:val="16"/>
                <w:szCs w:val="16"/>
              </w:rPr>
              <w:t>分 制算调整率绝对值</w:t>
            </w:r>
            <w:r>
              <w:rPr>
                <w:b/>
                <w:bCs/>
                <w:color w:val="000000"/>
                <w:spacing w:val="0"/>
                <w:w w:val="100"/>
                <w:position w:val="0"/>
                <w:sz w:val="18"/>
                <w:szCs w:val="18"/>
              </w:rPr>
              <w:t>＞5%</w:t>
            </w:r>
            <w:r>
              <w:rPr>
                <w:color w:val="000000"/>
                <w:spacing w:val="0"/>
                <w:w w:val="100"/>
                <w:position w:val="0"/>
                <w:sz w:val="16"/>
                <w:szCs w:val="16"/>
              </w:rPr>
              <w:t>的，每增 加</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个百分点扣</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分，扣完为 止.</w:t>
            </w: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548.97/761.78=72.06%</w:t>
            </w:r>
          </w:p>
          <w:p>
            <w:pPr>
              <w:widowControl w:val="0"/>
              <w:shd w:val="clear" w:color="auto" w:fill="auto"/>
              <w:rPr>
                <w:rFonts w:hint="eastAsia" w:eastAsia="宋体"/>
                <w:sz w:val="20"/>
                <w:szCs w:val="20"/>
                <w:lang w:val="en-US" w:eastAsia="zh-CN"/>
              </w:rPr>
            </w:pPr>
          </w:p>
          <w:p>
            <w:pPr>
              <w:widowControl w:val="0"/>
              <w:rPr>
                <w:rFonts w:hint="default" w:eastAsia="宋体"/>
                <w:sz w:val="20"/>
                <w:szCs w:val="20"/>
                <w:lang w:val="en-US" w:eastAsia="zh-CN"/>
              </w:rPr>
            </w:pPr>
            <w:r>
              <w:rPr>
                <w:rFonts w:hint="eastAsia" w:eastAsia="宋体"/>
                <w:sz w:val="20"/>
                <w:szCs w:val="20"/>
                <w:lang w:val="en-US" w:eastAsia="zh-CN"/>
              </w:rPr>
              <w:t>依据19年决算</w:t>
            </w:r>
          </w:p>
          <w:p>
            <w:pPr>
              <w:widowControl w:val="0"/>
              <w:shd w:val="clear" w:color="auto" w:fill="auto"/>
              <w:rPr>
                <w:rFonts w:hint="default" w:eastAsia="宋体"/>
                <w:sz w:val="20"/>
                <w:szCs w:val="20"/>
                <w:lang w:val="en-US" w:eastAsia="zh-CN"/>
              </w:rPr>
            </w:p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72.06%</w:t>
            </w: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0</w:t>
            </w: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纪检监察体制改革，人员编制增加</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spacing w:line="1" w:lineRule="exact"/>
        <w:rPr>
          <w:sz w:val="2"/>
          <w:szCs w:val="2"/>
        </w:rPr>
      </w:pPr>
      <w:r>
        <w:br w:type="page"/>
      </w:r>
    </w:p>
    <w:tbl>
      <w:tblPr>
        <w:tblStyle w:val="5"/>
        <w:tblW w:w="0" w:type="auto"/>
        <w:jc w:val="center"/>
        <w:tblLayout w:type="fixed"/>
        <w:tblCellMar>
          <w:top w:w="0" w:type="dxa"/>
          <w:left w:w="10" w:type="dxa"/>
          <w:bottom w:w="0" w:type="dxa"/>
          <w:right w:w="10" w:type="dxa"/>
        </w:tblCellMar>
      </w:tblPr>
      <w:tblGrid>
        <w:gridCol w:w="511"/>
        <w:gridCol w:w="634"/>
        <w:gridCol w:w="497"/>
        <w:gridCol w:w="331"/>
        <w:gridCol w:w="3298"/>
        <w:gridCol w:w="2642"/>
        <w:gridCol w:w="1066"/>
        <w:gridCol w:w="713"/>
        <w:gridCol w:w="720"/>
        <w:gridCol w:w="576"/>
        <w:gridCol w:w="1555"/>
        <w:gridCol w:w="1447"/>
      </w:tblGrid>
      <w:tr>
        <w:tblPrEx>
          <w:tblCellMar>
            <w:top w:w="0" w:type="dxa"/>
            <w:left w:w="10" w:type="dxa"/>
            <w:bottom w:w="0" w:type="dxa"/>
            <w:right w:w="10" w:type="dxa"/>
          </w:tblCellMar>
        </w:tblPrEx>
        <w:trPr>
          <w:trHeight w:val="878"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30" w:lineRule="exact"/>
              <w:ind w:left="0" w:right="0" w:firstLine="0"/>
              <w:jc w:val="both"/>
              <w:rPr>
                <w:sz w:val="16"/>
                <w:szCs w:val="16"/>
              </w:rPr>
            </w:pPr>
            <w:r>
              <w:rPr>
                <w:color w:val="000000"/>
                <w:spacing w:val="0"/>
                <w:w w:val="100"/>
                <w:position w:val="0"/>
                <w:sz w:val="16"/>
                <w:szCs w:val="16"/>
              </w:rPr>
              <w:t>二级 指标</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80" w:lineRule="exact"/>
              <w:ind w:left="0" w:right="0" w:firstLine="0"/>
              <w:jc w:val="center"/>
              <w:rPr>
                <w:sz w:val="17"/>
                <w:szCs w:val="17"/>
              </w:rPr>
            </w:pPr>
            <w:r>
              <w:rPr>
                <w:color w:val="000000"/>
                <w:spacing w:val="0"/>
                <w:w w:val="100"/>
                <w:position w:val="0"/>
                <w:sz w:val="17"/>
                <w:szCs w:val="17"/>
              </w:rPr>
              <w:t>级标 三指</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240"/>
              <w:jc w:val="left"/>
              <w:rPr>
                <w:sz w:val="17"/>
                <w:szCs w:val="17"/>
              </w:rPr>
            </w:pPr>
            <w:r>
              <w:rPr>
                <w:color w:val="000000"/>
                <w:spacing w:val="0"/>
                <w:w w:val="100"/>
                <w:position w:val="0"/>
                <w:sz w:val="17"/>
                <w:szCs w:val="17"/>
              </w:rPr>
              <w:t>分值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指标值计算 公式和数据 获取方式</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年初目 标值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实际完 成值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1944" w:hRule="exact"/>
          <w:jc w:val="center"/>
        </w:trPr>
        <w:tc>
          <w:tcPr>
            <w:vMerge w:val="restart"/>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投入</w:t>
            </w:r>
          </w:p>
        </w:tc>
        <w:tc>
          <w:tcPr>
            <w:vMerge w:val="restart"/>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5" w:lineRule="exact"/>
              <w:ind w:left="0" w:right="0" w:firstLine="0"/>
              <w:jc w:val="both"/>
              <w:rPr>
                <w:sz w:val="16"/>
                <w:szCs w:val="16"/>
              </w:rPr>
            </w:pPr>
            <w:r>
              <w:rPr>
                <w:color w:val="000000"/>
                <w:spacing w:val="0"/>
                <w:w w:val="100"/>
                <w:position w:val="0"/>
                <w:sz w:val="16"/>
                <w:szCs w:val="16"/>
              </w:rPr>
              <w:t>预算执 行</w:t>
            </w:r>
            <w:r>
              <w:rPr>
                <w:b/>
                <w:bCs/>
                <w:color w:val="000000"/>
                <w:spacing w:val="0"/>
                <w:w w:val="100"/>
                <w:position w:val="0"/>
                <w:sz w:val="18"/>
                <w:szCs w:val="18"/>
              </w:rPr>
              <w:t xml:space="preserve">（25 </w:t>
            </w:r>
            <w:r>
              <w:rPr>
                <w:color w:val="000000"/>
                <w:spacing w:val="0"/>
                <w:w w:val="100"/>
                <w:position w:val="0"/>
                <w:sz w:val="16"/>
                <w:szCs w:val="16"/>
              </w:rPr>
              <w:t>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出度 </w:t>
            </w:r>
            <w:r>
              <w:rPr>
                <w:b/>
                <w:bCs/>
                <w:color w:val="000000"/>
                <w:spacing w:val="0"/>
                <w:w w:val="100"/>
                <w:position w:val="0"/>
                <w:sz w:val="18"/>
                <w:szCs w:val="18"/>
              </w:rPr>
              <w:t xml:space="preserve">5 ) </w:t>
            </w:r>
            <w:r>
              <w:rPr>
                <w:color w:val="000000"/>
                <w:spacing w:val="0"/>
                <w:w w:val="100"/>
                <w:position w:val="0"/>
              </w:rPr>
              <w:t xml:space="preserve">支进率 </w:t>
            </w:r>
            <w:r>
              <w:rPr>
                <w:color w:val="000000"/>
                <w:spacing w:val="0"/>
                <w:w w:val="100"/>
                <w:position w:val="0"/>
                <w:u w:val="single"/>
              </w:rPr>
              <w:t>&lt; 分 一</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top"/>
          </w:tcPr>
          <w:p>
            <w:pPr>
              <w:pStyle w:val="22"/>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支出进</w:t>
            </w:r>
            <w:r>
              <w:rPr>
                <w:color w:val="000000"/>
                <w:spacing w:val="0"/>
                <w:w w:val="100"/>
                <w:position w:val="0"/>
                <w:sz w:val="16"/>
                <w:szCs w:val="16"/>
                <w:lang w:val="zh-CN" w:eastAsia="zh-CN" w:bidi="zh-CN"/>
              </w:rPr>
              <w:t>度率。</w:t>
            </w:r>
            <w:r>
              <w:rPr>
                <w:color w:val="000000"/>
                <w:spacing w:val="0"/>
                <w:w w:val="100"/>
                <w:position w:val="0"/>
                <w:sz w:val="16"/>
                <w:szCs w:val="16"/>
              </w:rPr>
              <w:t xml:space="preserve">（实际支出/支出预算） </w:t>
            </w:r>
            <w:r>
              <w:rPr>
                <w:b/>
                <w:bCs/>
                <w:color w:val="000000"/>
                <w:spacing w:val="0"/>
                <w:w w:val="100"/>
                <w:position w:val="0"/>
                <w:sz w:val="18"/>
                <w:szCs w:val="18"/>
              </w:rPr>
              <w:t>X 100%,</w:t>
            </w:r>
            <w:r>
              <w:rPr>
                <w:color w:val="000000"/>
                <w:spacing w:val="0"/>
                <w:w w:val="100"/>
                <w:position w:val="0"/>
                <w:sz w:val="16"/>
                <w:szCs w:val="16"/>
              </w:rPr>
              <w:t>用以反映和考核部门（单位） 预算执行的及时性和均衡性程度. 半年支出进度=部门上半年实际支出/</w:t>
            </w:r>
          </w:p>
          <w:p>
            <w:pPr>
              <w:pStyle w:val="22"/>
              <w:keepNext w:val="0"/>
              <w:keepLines w:val="0"/>
              <w:widowControl w:val="0"/>
              <w:shd w:val="clear" w:color="auto" w:fill="auto"/>
              <w:bidi w:val="0"/>
              <w:spacing w:before="0" w:after="0" w:line="208" w:lineRule="exact"/>
              <w:ind w:left="0" w:right="0" w:firstLine="0"/>
              <w:jc w:val="left"/>
              <w:rPr>
                <w:sz w:val="18"/>
                <w:szCs w:val="18"/>
              </w:rPr>
            </w:pPr>
            <w:r>
              <w:rPr>
                <w:color w:val="000000"/>
                <w:spacing w:val="0"/>
                <w:w w:val="100"/>
                <w:position w:val="0"/>
                <w:sz w:val="16"/>
                <w:szCs w:val="16"/>
              </w:rPr>
              <w:t>（上年结余结转+本年部门预算安排+上 半年执行中追加追减）</w:t>
            </w:r>
            <w:r>
              <w:rPr>
                <w:b/>
                <w:bCs/>
                <w:color w:val="000000"/>
                <w:spacing w:val="0"/>
                <w:w w:val="100"/>
                <w:position w:val="0"/>
                <w:sz w:val="18"/>
                <w:szCs w:val="18"/>
              </w:rPr>
              <w:t>*100%.</w:t>
            </w:r>
          </w:p>
          <w:p>
            <w:pPr>
              <w:pStyle w:val="22"/>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前三季度支出进度</w:t>
            </w:r>
            <w:r>
              <w:rPr>
                <w:color w:val="000000"/>
                <w:spacing w:val="0"/>
                <w:w w:val="100"/>
                <w:position w:val="0"/>
                <w:sz w:val="16"/>
                <w:szCs w:val="16"/>
                <w:lang w:val="zh-CN" w:eastAsia="zh-CN" w:bidi="zh-CN"/>
              </w:rPr>
              <w:t>■部门</w:t>
            </w:r>
            <w:r>
              <w:rPr>
                <w:color w:val="000000"/>
                <w:spacing w:val="0"/>
                <w:w w:val="100"/>
                <w:position w:val="0"/>
                <w:sz w:val="16"/>
                <w:szCs w:val="16"/>
              </w:rPr>
              <w:t>前三季度实际 支出/ （上年结余结转+本年部门预算安 排+前三季度执行中追加追减）</w:t>
            </w:r>
            <w:r>
              <w:rPr>
                <w:b/>
                <w:bCs/>
                <w:color w:val="000000"/>
                <w:spacing w:val="0"/>
                <w:w w:val="100"/>
                <w:position w:val="0"/>
                <w:sz w:val="18"/>
                <w:szCs w:val="18"/>
              </w:rPr>
              <w:t>*100%</w:t>
            </w:r>
            <w:r>
              <w:rPr>
                <w:color w:val="000000"/>
                <w:spacing w:val="0"/>
                <w:w w:val="100"/>
                <w:position w:val="0"/>
                <w:sz w:val="16"/>
                <w:szCs w:val="16"/>
              </w:rPr>
              <w:t>。</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半年进度：进度率</w:t>
            </w:r>
            <w:r>
              <w:rPr>
                <w:b/>
                <w:bCs/>
                <w:color w:val="000000"/>
                <w:spacing w:val="0"/>
                <w:w w:val="100"/>
                <w:position w:val="0"/>
                <w:sz w:val="18"/>
                <w:szCs w:val="18"/>
              </w:rPr>
              <w:t>＞45%,</w:t>
            </w:r>
            <w:r>
              <w:rPr>
                <w:color w:val="000000"/>
                <w:spacing w:val="0"/>
                <w:w w:val="100"/>
                <w:position w:val="0"/>
                <w:sz w:val="16"/>
                <w:szCs w:val="16"/>
              </w:rPr>
              <w:t xml:space="preserve">得 </w:t>
            </w:r>
            <w:r>
              <w:rPr>
                <w:b/>
                <w:bCs/>
                <w:color w:val="000000"/>
                <w:spacing w:val="0"/>
                <w:w w:val="100"/>
                <w:position w:val="0"/>
                <w:sz w:val="18"/>
                <w:szCs w:val="18"/>
              </w:rPr>
              <w:t>2</w:t>
            </w:r>
            <w:r>
              <w:rPr>
                <w:color w:val="000000"/>
                <w:spacing w:val="0"/>
                <w:w w:val="100"/>
                <w:position w:val="0"/>
                <w:sz w:val="16"/>
                <w:szCs w:val="16"/>
              </w:rPr>
              <w:t>分；进度率在</w:t>
            </w:r>
            <w:r>
              <w:rPr>
                <w:b/>
                <w:bCs/>
                <w:color w:val="000000"/>
                <w:spacing w:val="0"/>
                <w:w w:val="100"/>
                <w:position w:val="0"/>
                <w:sz w:val="18"/>
                <w:szCs w:val="18"/>
              </w:rPr>
              <w:t xml:space="preserve">40% </w:t>
            </w:r>
            <w:r>
              <w:rPr>
                <w:color w:val="000000"/>
                <w:spacing w:val="0"/>
                <w:w w:val="100"/>
                <w:position w:val="0"/>
                <w:sz w:val="16"/>
                <w:szCs w:val="16"/>
              </w:rPr>
              <w:t>（含）和</w:t>
            </w:r>
            <w:r>
              <w:rPr>
                <w:b/>
                <w:bCs/>
                <w:color w:val="000000"/>
                <w:spacing w:val="0"/>
                <w:w w:val="100"/>
                <w:position w:val="0"/>
                <w:sz w:val="18"/>
                <w:szCs w:val="18"/>
              </w:rPr>
              <w:t xml:space="preserve">45% </w:t>
            </w:r>
            <w:r>
              <w:rPr>
                <w:color w:val="000000"/>
                <w:spacing w:val="0"/>
                <w:w w:val="100"/>
                <w:position w:val="0"/>
                <w:sz w:val="16"/>
                <w:szCs w:val="16"/>
              </w:rPr>
              <w:t>之间，得</w:t>
            </w:r>
            <w:r>
              <w:rPr>
                <w:b/>
                <w:bCs/>
                <w:color w:val="000000"/>
                <w:spacing w:val="0"/>
                <w:w w:val="100"/>
                <w:position w:val="0"/>
                <w:sz w:val="18"/>
                <w:szCs w:val="18"/>
              </w:rPr>
              <w:t>1</w:t>
            </w:r>
            <w:r>
              <w:rPr>
                <w:color w:val="000000"/>
                <w:spacing w:val="0"/>
                <w:w w:val="100"/>
                <w:position w:val="0"/>
                <w:sz w:val="16"/>
                <w:szCs w:val="16"/>
              </w:rPr>
              <w:t>分；进度率</w:t>
            </w:r>
            <w:r>
              <w:rPr>
                <w:b/>
                <w:bCs/>
                <w:color w:val="000000"/>
                <w:spacing w:val="0"/>
                <w:w w:val="100"/>
                <w:position w:val="0"/>
                <w:sz w:val="18"/>
                <w:szCs w:val="18"/>
              </w:rPr>
              <w:t>＜40%,</w:t>
            </w:r>
            <w:r>
              <w:rPr>
                <w:color w:val="000000"/>
                <w:spacing w:val="0"/>
                <w:w w:val="100"/>
                <w:position w:val="0"/>
                <w:sz w:val="16"/>
                <w:szCs w:val="16"/>
              </w:rPr>
              <w:t xml:space="preserve">得 </w:t>
            </w:r>
            <w:r>
              <w:rPr>
                <w:color w:val="000000"/>
                <w:spacing w:val="0"/>
                <w:w w:val="100"/>
                <w:position w:val="0"/>
                <w:sz w:val="16"/>
                <w:szCs w:val="16"/>
                <w:lang w:val="zh-CN" w:eastAsia="zh-CN" w:bidi="zh-CN"/>
              </w:rPr>
              <w:t>。分.</w:t>
            </w:r>
          </w:p>
          <w:p>
            <w:pPr>
              <w:pStyle w:val="22"/>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前三季度进度：进度率</w:t>
            </w:r>
            <w:r>
              <w:rPr>
                <w:b/>
                <w:bCs/>
                <w:color w:val="000000"/>
                <w:spacing w:val="0"/>
                <w:w w:val="100"/>
                <w:position w:val="0"/>
                <w:sz w:val="18"/>
                <w:szCs w:val="18"/>
              </w:rPr>
              <w:t xml:space="preserve">＞75%, </w:t>
            </w:r>
            <w:r>
              <w:rPr>
                <w:color w:val="000000"/>
                <w:spacing w:val="0"/>
                <w:w w:val="100"/>
                <w:position w:val="0"/>
                <w:sz w:val="16"/>
                <w:szCs w:val="16"/>
              </w:rPr>
              <w:t>得</w:t>
            </w:r>
            <w:r>
              <w:rPr>
                <w:b/>
                <w:bCs/>
                <w:color w:val="000000"/>
                <w:spacing w:val="0"/>
                <w:w w:val="100"/>
                <w:position w:val="0"/>
                <w:sz w:val="18"/>
                <w:szCs w:val="18"/>
              </w:rPr>
              <w:t>3</w:t>
            </w:r>
            <w:r>
              <w:rPr>
                <w:color w:val="000000"/>
                <w:spacing w:val="0"/>
                <w:w w:val="100"/>
                <w:position w:val="0"/>
                <w:sz w:val="16"/>
                <w:szCs w:val="16"/>
              </w:rPr>
              <w:t>分；进度率在</w:t>
            </w:r>
            <w:r>
              <w:rPr>
                <w:b/>
                <w:bCs/>
                <w:color w:val="000000"/>
                <w:spacing w:val="0"/>
                <w:w w:val="100"/>
                <w:position w:val="0"/>
                <w:sz w:val="18"/>
                <w:szCs w:val="18"/>
              </w:rPr>
              <w:t xml:space="preserve">60% </w:t>
            </w:r>
            <w:r>
              <w:rPr>
                <w:color w:val="000000"/>
                <w:spacing w:val="0"/>
                <w:w w:val="100"/>
                <w:position w:val="0"/>
                <w:sz w:val="16"/>
                <w:szCs w:val="16"/>
              </w:rPr>
              <w:t xml:space="preserve">（含）和 </w:t>
            </w:r>
            <w:r>
              <w:rPr>
                <w:b/>
                <w:bCs/>
                <w:color w:val="000000"/>
                <w:spacing w:val="0"/>
                <w:w w:val="100"/>
                <w:position w:val="0"/>
                <w:sz w:val="18"/>
                <w:szCs w:val="18"/>
              </w:rPr>
              <w:t>75%</w:t>
            </w:r>
            <w:r>
              <w:rPr>
                <w:color w:val="000000"/>
                <w:spacing w:val="0"/>
                <w:w w:val="100"/>
                <w:position w:val="0"/>
                <w:sz w:val="16"/>
                <w:szCs w:val="16"/>
              </w:rPr>
              <w:t>之间，得</w:t>
            </w:r>
            <w:r>
              <w:rPr>
                <w:b/>
                <w:bCs/>
                <w:color w:val="000000"/>
                <w:spacing w:val="0"/>
                <w:w w:val="100"/>
                <w:position w:val="0"/>
                <w:sz w:val="18"/>
                <w:szCs w:val="18"/>
              </w:rPr>
              <w:t>2</w:t>
            </w:r>
            <w:r>
              <w:rPr>
                <w:color w:val="000000"/>
                <w:spacing w:val="0"/>
                <w:w w:val="100"/>
                <w:position w:val="0"/>
                <w:sz w:val="16"/>
                <w:szCs w:val="16"/>
              </w:rPr>
              <w:t xml:space="preserve">分；进度率＜ </w:t>
            </w:r>
            <w:r>
              <w:rPr>
                <w:b/>
                <w:bCs/>
                <w:color w:val="000000"/>
                <w:spacing w:val="0"/>
                <w:w w:val="100"/>
                <w:position w:val="0"/>
                <w:sz w:val="18"/>
                <w:szCs w:val="18"/>
              </w:rPr>
              <w:t>60%,</w:t>
            </w:r>
            <w:r>
              <w:rPr>
                <w:color w:val="000000"/>
                <w:spacing w:val="0"/>
                <w:w w:val="100"/>
                <w:position w:val="0"/>
                <w:sz w:val="16"/>
                <w:szCs w:val="16"/>
              </w:rPr>
              <w:t>得</w:t>
            </w:r>
            <w:r>
              <w:rPr>
                <w:color w:val="000000"/>
                <w:spacing w:val="0"/>
                <w:w w:val="100"/>
                <w:position w:val="0"/>
                <w:sz w:val="16"/>
                <w:szCs w:val="16"/>
                <w:lang w:val="zh-CN" w:eastAsia="zh-CN" w:bidi="zh-CN"/>
              </w:rPr>
              <w:t>。分.</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半年进度=392.56/813.88=48.23%</w:t>
            </w:r>
          </w:p>
          <w:p>
            <w:pPr>
              <w:widowControl w:val="0"/>
              <w:shd w:val="clear" w:color="auto" w:fill="auto"/>
              <w:rPr>
                <w:rFonts w:hint="eastAsia" w:eastAsia="宋体"/>
                <w:sz w:val="20"/>
                <w:szCs w:val="20"/>
                <w:lang w:val="en-US" w:eastAsia="zh-CN"/>
              </w:rPr>
            </w:pPr>
          </w:p>
          <w:p>
            <w:pPr>
              <w:widowControl w:val="0"/>
              <w:shd w:val="clear" w:color="auto" w:fill="auto"/>
              <w:rPr>
                <w:rFonts w:hint="default" w:eastAsia="宋体"/>
                <w:sz w:val="20"/>
                <w:szCs w:val="20"/>
                <w:lang w:val="en-US" w:eastAsia="zh-CN"/>
              </w:rPr>
            </w:pPr>
            <w:r>
              <w:rPr>
                <w:rFonts w:hint="eastAsia" w:eastAsia="宋体"/>
                <w:sz w:val="20"/>
                <w:szCs w:val="20"/>
                <w:lang w:val="en-US" w:eastAsia="zh-CN"/>
              </w:rPr>
              <w:t>前三季度进度=822.5/1362.85=60.35%</w:t>
            </w:r>
          </w:p>
        </w:tc>
        <w:tc>
          <w:tcPr>
            <w:tcBorders>
              <w:top w:val="single" w:color="auto" w:sz="4" w:space="0"/>
              <w:left w:val="single" w:color="auto" w:sz="4" w:space="0"/>
            </w:tcBorders>
            <w:shd w:val="clear" w:color="auto" w:fill="FFFFFF"/>
            <w:vAlign w:val="top"/>
          </w:tcPr>
          <w:p>
            <w:pPr>
              <w:widowControl w:val="0"/>
              <w:shd w:val="clear" w:color="auto" w:fill="auto"/>
              <w:rPr>
                <w:b/>
                <w:bCs/>
                <w:color w:val="000000"/>
                <w:spacing w:val="0"/>
                <w:w w:val="100"/>
                <w:position w:val="0"/>
                <w:sz w:val="18"/>
                <w:szCs w:val="18"/>
              </w:rPr>
            </w:pPr>
            <w:r>
              <w:rPr>
                <w:b/>
                <w:bCs/>
                <w:color w:val="000000"/>
                <w:spacing w:val="0"/>
                <w:w w:val="100"/>
                <w:position w:val="0"/>
                <w:sz w:val="18"/>
                <w:szCs w:val="18"/>
              </w:rPr>
              <w:t>＞45%</w:t>
            </w:r>
          </w:p>
          <w:p>
            <w:pPr>
              <w:widowControl w:val="0"/>
              <w:shd w:val="clear" w:color="auto" w:fill="auto"/>
              <w:rPr>
                <w:b/>
                <w:bCs/>
                <w:color w:val="000000"/>
                <w:spacing w:val="0"/>
                <w:w w:val="100"/>
                <w:position w:val="0"/>
                <w:sz w:val="18"/>
                <w:szCs w:val="18"/>
              </w:rPr>
            </w:pPr>
          </w:p>
          <w:p>
            <w:pPr>
              <w:widowControl w:val="0"/>
              <w:shd w:val="clear" w:color="auto" w:fill="auto"/>
              <w:rPr>
                <w:b/>
                <w:bCs/>
                <w:color w:val="000000"/>
                <w:spacing w:val="0"/>
                <w:w w:val="100"/>
                <w:position w:val="0"/>
                <w:sz w:val="18"/>
                <w:szCs w:val="18"/>
              </w:rPr>
            </w:pPr>
          </w:p>
          <w:p>
            <w:pPr>
              <w:widowControl w:val="0"/>
              <w:shd w:val="clear" w:color="auto" w:fill="auto"/>
              <w:rPr>
                <w:b/>
                <w:bCs/>
                <w:color w:val="000000"/>
                <w:spacing w:val="0"/>
                <w:w w:val="100"/>
                <w:position w:val="0"/>
                <w:sz w:val="18"/>
                <w:szCs w:val="18"/>
              </w:rPr>
            </w:pPr>
          </w:p>
          <w:p>
            <w:pPr>
              <w:widowControl w:val="0"/>
              <w:shd w:val="clear" w:color="auto" w:fill="auto"/>
              <w:rPr>
                <w:b/>
                <w:bCs/>
                <w:color w:val="000000"/>
                <w:spacing w:val="0"/>
                <w:w w:val="100"/>
                <w:position w:val="0"/>
                <w:sz w:val="18"/>
                <w:szCs w:val="18"/>
              </w:rPr>
            </w:pPr>
          </w:p>
          <w:p>
            <w:pPr>
              <w:widowControl w:val="0"/>
              <w:shd w:val="clear" w:color="auto" w:fill="auto"/>
              <w:rPr>
                <w:b/>
                <w:bCs/>
                <w:color w:val="000000"/>
                <w:spacing w:val="0"/>
                <w:w w:val="100"/>
                <w:position w:val="0"/>
                <w:sz w:val="18"/>
                <w:szCs w:val="18"/>
              </w:rPr>
            </w:pPr>
          </w:p>
          <w:p>
            <w:pPr>
              <w:widowControl w:val="0"/>
              <w:shd w:val="clear" w:color="auto" w:fill="auto"/>
              <w:rPr>
                <w:b/>
                <w:bCs/>
                <w:color w:val="000000"/>
                <w:spacing w:val="0"/>
                <w:w w:val="100"/>
                <w:position w:val="0"/>
                <w:sz w:val="18"/>
                <w:szCs w:val="18"/>
              </w:rPr>
            </w:pPr>
          </w:p>
          <w:p>
            <w:pPr>
              <w:widowControl w:val="0"/>
              <w:shd w:val="clear" w:color="auto" w:fill="auto"/>
              <w:rPr>
                <w:rFonts w:hint="eastAsia"/>
                <w:b/>
                <w:bCs/>
                <w:color w:val="000000"/>
                <w:spacing w:val="0"/>
                <w:w w:val="100"/>
                <w:position w:val="0"/>
                <w:sz w:val="18"/>
                <w:szCs w:val="18"/>
                <w:lang w:val="en-US" w:eastAsia="zh-CN"/>
              </w:rPr>
            </w:pPr>
            <w:r>
              <w:rPr>
                <w:b/>
                <w:bCs/>
                <w:color w:val="000000"/>
                <w:spacing w:val="0"/>
                <w:w w:val="100"/>
                <w:position w:val="0"/>
                <w:sz w:val="18"/>
                <w:szCs w:val="18"/>
              </w:rPr>
              <w:t>＞75%</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48.23%</w:t>
            </w: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r>
              <w:rPr>
                <w:rFonts w:hint="eastAsia" w:eastAsia="宋体"/>
                <w:sz w:val="20"/>
                <w:szCs w:val="20"/>
                <w:lang w:val="en-US" w:eastAsia="zh-CN"/>
              </w:rPr>
              <w:t>60.35%</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2</w:t>
            </w: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eastAsia" w:eastAsia="宋体"/>
                <w:sz w:val="20"/>
                <w:szCs w:val="20"/>
                <w:lang w:val="en-US" w:eastAsia="zh-CN"/>
              </w:rPr>
            </w:pPr>
          </w:p>
          <w:p>
            <w:pPr>
              <w:widowControl w:val="0"/>
              <w:shd w:val="clear" w:color="auto" w:fill="auto"/>
              <w:rPr>
                <w:rFonts w:hint="default" w:eastAsia="宋体"/>
                <w:sz w:val="20"/>
                <w:szCs w:val="20"/>
                <w:lang w:val="en-US" w:eastAsia="zh-CN"/>
              </w:rPr>
            </w:pPr>
            <w:r>
              <w:rPr>
                <w:rFonts w:hint="eastAsia" w:eastAsia="宋体"/>
                <w:sz w:val="20"/>
                <w:szCs w:val="20"/>
                <w:lang w:val="en-US" w:eastAsia="zh-CN"/>
              </w:rPr>
              <w:t>2</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财政预算精准性不够，财政支出均衡性不足</w:t>
            </w: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346" w:hRule="exact"/>
          <w:jc w:val="center"/>
        </w:trPr>
        <w:tc>
          <w:tcPr>
            <w:vMerge w:val="continue"/>
            <w:tcBorders>
              <w:left w:val="single" w:color="auto" w:sz="4" w:space="0"/>
            </w:tcBorders>
            <w:shd w:val="clear" w:color="auto" w:fill="FFFFFF"/>
            <w:textDirection w:val="tbRlV"/>
            <w:vAlign w:val="bottom"/>
          </w:tcPr>
          <w:p/>
        </w:tc>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算制确 </w:t>
            </w:r>
            <w:r>
              <w:rPr>
                <w:b/>
                <w:bCs/>
                <w:color w:val="000000"/>
                <w:spacing w:val="0"/>
                <w:w w:val="100"/>
                <w:position w:val="0"/>
                <w:sz w:val="18"/>
                <w:szCs w:val="18"/>
              </w:rPr>
              <w:t xml:space="preserve">5 ) </w:t>
            </w:r>
            <w:r>
              <w:rPr>
                <w:color w:val="000000"/>
                <w:spacing w:val="0"/>
                <w:w w:val="100"/>
                <w:position w:val="0"/>
              </w:rPr>
              <w:t>预编准率{分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173" w:lineRule="exact"/>
              <w:ind w:left="0" w:right="0" w:firstLine="0"/>
              <w:jc w:val="left"/>
              <w:rPr>
                <w:sz w:val="16"/>
                <w:szCs w:val="16"/>
              </w:rPr>
            </w:pPr>
            <w:r>
              <w:rPr>
                <w:color w:val="000000"/>
                <w:spacing w:val="0"/>
                <w:w w:val="100"/>
                <w:position w:val="0"/>
                <w:sz w:val="16"/>
                <w:szCs w:val="16"/>
              </w:rPr>
              <w:t>部门预算中除财政拔款外的其他收入预 算与决 算差异率。</w:t>
            </w:r>
          </w:p>
          <w:p>
            <w:pPr>
              <w:pStyle w:val="22"/>
              <w:keepNext w:val="0"/>
              <w:keepLines w:val="0"/>
              <w:widowControl w:val="0"/>
              <w:shd w:val="clear" w:color="auto" w:fill="auto"/>
              <w:bidi w:val="0"/>
              <w:spacing w:before="0" w:after="0" w:line="202" w:lineRule="exact"/>
              <w:ind w:left="0" w:right="0" w:firstLine="0"/>
              <w:jc w:val="left"/>
              <w:rPr>
                <w:sz w:val="18"/>
                <w:szCs w:val="18"/>
              </w:rPr>
            </w:pPr>
            <w:r>
              <w:rPr>
                <w:color w:val="000000"/>
                <w:spacing w:val="0"/>
                <w:w w:val="100"/>
                <w:position w:val="0"/>
                <w:sz w:val="16"/>
                <w:szCs w:val="16"/>
              </w:rPr>
              <w:t>预算编制准确率°=其他收入决算数/其他 收入预算数</w:t>
            </w:r>
            <w:r>
              <w:rPr>
                <w:b/>
                <w:bCs/>
                <w:color w:val="000000"/>
                <w:spacing w:val="0"/>
                <w:w w:val="100"/>
                <w:position w:val="0"/>
                <w:sz w:val="18"/>
                <w:szCs w:val="18"/>
              </w:rPr>
              <w:t>X 100%-100%.</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left"/>
              <w:rPr>
                <w:sz w:val="18"/>
                <w:szCs w:val="18"/>
              </w:rPr>
            </w:pPr>
            <w:r>
              <w:rPr>
                <w:color w:val="000000"/>
                <w:spacing w:val="0"/>
                <w:w w:val="100"/>
                <w:position w:val="0"/>
                <w:sz w:val="16"/>
                <w:szCs w:val="16"/>
              </w:rPr>
              <w:t>预算编制准确率</w:t>
            </w:r>
            <w:r>
              <w:rPr>
                <w:b/>
                <w:bCs/>
                <w:color w:val="000000"/>
                <w:spacing w:val="0"/>
                <w:w w:val="100"/>
                <w:position w:val="0"/>
                <w:sz w:val="18"/>
                <w:szCs w:val="18"/>
              </w:rPr>
              <w:t>＜20%,</w:t>
            </w:r>
            <w:r>
              <w:rPr>
                <w:color w:val="000000"/>
                <w:spacing w:val="0"/>
                <w:w w:val="100"/>
                <w:position w:val="0"/>
                <w:sz w:val="16"/>
                <w:szCs w:val="16"/>
              </w:rPr>
              <w:t>得</w:t>
            </w:r>
            <w:r>
              <w:rPr>
                <w:b/>
                <w:bCs/>
                <w:color w:val="000000"/>
                <w:spacing w:val="0"/>
                <w:w w:val="100"/>
                <w:position w:val="0"/>
                <w:sz w:val="18"/>
                <w:szCs w:val="18"/>
              </w:rPr>
              <w:t>5</w:t>
            </w:r>
            <w:r>
              <w:rPr>
                <w:color w:val="000000"/>
                <w:spacing w:val="0"/>
                <w:w w:val="100"/>
                <w:position w:val="0"/>
                <w:sz w:val="16"/>
                <w:szCs w:val="16"/>
              </w:rPr>
              <w:t>分. 预算编制准确率在</w:t>
            </w:r>
            <w:r>
              <w:rPr>
                <w:b/>
                <w:bCs/>
                <w:color w:val="000000"/>
                <w:spacing w:val="0"/>
                <w:w w:val="100"/>
                <w:position w:val="0"/>
                <w:sz w:val="18"/>
                <w:szCs w:val="18"/>
              </w:rPr>
              <w:t>20%</w:t>
            </w:r>
            <w:r>
              <w:rPr>
                <w:color w:val="000000"/>
                <w:spacing w:val="0"/>
                <w:w w:val="100"/>
                <w:position w:val="0"/>
                <w:sz w:val="16"/>
                <w:szCs w:val="16"/>
              </w:rPr>
              <w:t>和</w:t>
            </w:r>
            <w:r>
              <w:rPr>
                <w:b/>
                <w:bCs/>
                <w:color w:val="000000"/>
                <w:spacing w:val="0"/>
                <w:w w:val="100"/>
                <w:position w:val="0"/>
                <w:sz w:val="18"/>
                <w:szCs w:val="18"/>
              </w:rPr>
              <w:t>40%</w:t>
            </w:r>
          </w:p>
          <w:p>
            <w:pPr>
              <w:pStyle w:val="22"/>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（含）之间，得</w:t>
            </w:r>
            <w:r>
              <w:rPr>
                <w:b/>
                <w:bCs/>
                <w:color w:val="000000"/>
                <w:spacing w:val="0"/>
                <w:w w:val="100"/>
                <w:position w:val="0"/>
                <w:sz w:val="18"/>
                <w:szCs w:val="18"/>
              </w:rPr>
              <w:t>3</w:t>
            </w:r>
            <w:r>
              <w:rPr>
                <w:color w:val="000000"/>
                <w:spacing w:val="0"/>
                <w:w w:val="100"/>
                <w:position w:val="0"/>
                <w:sz w:val="16"/>
                <w:szCs w:val="16"/>
              </w:rPr>
              <w:t>分.</w:t>
            </w:r>
          </w:p>
          <w:p>
            <w:pPr>
              <w:pStyle w:val="22"/>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预算编制准确率</w:t>
            </w:r>
            <w:r>
              <w:rPr>
                <w:b/>
                <w:bCs/>
                <w:color w:val="000000"/>
                <w:spacing w:val="0"/>
                <w:w w:val="100"/>
                <w:position w:val="0"/>
                <w:sz w:val="18"/>
                <w:szCs w:val="18"/>
              </w:rPr>
              <w:t>＞40%,</w:t>
            </w:r>
            <w:r>
              <w:rPr>
                <w:color w:val="000000"/>
                <w:spacing w:val="0"/>
                <w:w w:val="100"/>
                <w:position w:val="0"/>
                <w:sz w:val="16"/>
                <w:szCs w:val="16"/>
              </w:rPr>
              <w:t>得</w:t>
            </w:r>
            <w:r>
              <w:rPr>
                <w:b/>
                <w:bCs/>
                <w:color w:val="000000"/>
                <w:spacing w:val="0"/>
                <w:w w:val="100"/>
                <w:position w:val="0"/>
                <w:sz w:val="18"/>
                <w:szCs w:val="18"/>
              </w:rPr>
              <w:t>0</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预算编制准确率=10.21/0-100%=100%</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b/>
                <w:bCs/>
                <w:color w:val="000000"/>
                <w:spacing w:val="0"/>
                <w:w w:val="100"/>
                <w:position w:val="0"/>
                <w:sz w:val="18"/>
                <w:szCs w:val="18"/>
              </w:rPr>
              <w:t>＜20%</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100%</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0</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其他单位间转款</w:t>
            </w: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534" w:hRule="exact"/>
          <w:jc w:val="center"/>
        </w:trPr>
        <w:tc>
          <w:tcPr>
            <w:vMerge w:val="restart"/>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过程</w:t>
            </w:r>
          </w:p>
        </w:tc>
        <w:tc>
          <w:tcPr>
            <w:vMerge w:val="restart"/>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187" w:lineRule="exact"/>
              <w:ind w:left="0" w:right="0" w:firstLine="0"/>
              <w:jc w:val="both"/>
              <w:rPr>
                <w:sz w:val="18"/>
                <w:szCs w:val="18"/>
              </w:rPr>
            </w:pPr>
            <w:r>
              <w:rPr>
                <w:color w:val="000000"/>
                <w:spacing w:val="0"/>
                <w:w w:val="100"/>
                <w:position w:val="0"/>
                <w:sz w:val="16"/>
                <w:szCs w:val="16"/>
              </w:rPr>
              <w:t>预算管 理</w:t>
            </w:r>
            <w:r>
              <w:rPr>
                <w:b/>
                <w:bCs/>
                <w:color w:val="000000"/>
                <w:spacing w:val="0"/>
                <w:w w:val="100"/>
                <w:position w:val="0"/>
                <w:sz w:val="18"/>
                <w:szCs w:val="18"/>
              </w:rPr>
              <w:t>（15</w:t>
            </w:r>
          </w:p>
          <w:p>
            <w:pPr>
              <w:pStyle w:val="22"/>
              <w:keepNext w:val="0"/>
              <w:keepLines w:val="0"/>
              <w:widowControl w:val="0"/>
              <w:shd w:val="clear" w:color="auto" w:fill="auto"/>
              <w:bidi w:val="0"/>
              <w:spacing w:before="0" w:after="0" w:line="187" w:lineRule="exact"/>
              <w:ind w:left="0" w:right="0" w:firstLine="0"/>
              <w:jc w:val="center"/>
              <w:rPr>
                <w:sz w:val="16"/>
                <w:szCs w:val="16"/>
              </w:rPr>
            </w:pPr>
            <w:r>
              <w:rPr>
                <w:color w:val="000000"/>
                <w:spacing w:val="0"/>
                <w:w w:val="100"/>
                <w:position w:val="0"/>
                <w:sz w:val="16"/>
                <w:szCs w:val="16"/>
              </w:rPr>
              <w:t>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58" w:lineRule="exact"/>
              <w:ind w:left="0" w:right="0" w:firstLine="0"/>
              <w:jc w:val="center"/>
            </w:pPr>
            <w:r>
              <w:rPr>
                <w:color w:val="000000"/>
                <w:spacing w:val="0"/>
                <w:w w:val="100"/>
                <w:position w:val="0"/>
              </w:rPr>
              <w:t>三经</w:t>
            </w:r>
            <w:r>
              <w:rPr>
                <w:color w:val="000000"/>
                <w:spacing w:val="0"/>
                <w:w w:val="100"/>
                <w:position w:val="0"/>
                <w:lang w:val="zh-CN" w:eastAsia="zh-CN" w:bidi="zh-CN"/>
              </w:rPr>
              <w:t xml:space="preserve">”制 </w:t>
            </w:r>
            <w:r>
              <w:rPr>
                <w:b/>
                <w:bCs/>
                <w:color w:val="000000"/>
                <w:spacing w:val="0"/>
                <w:w w:val="100"/>
                <w:position w:val="0"/>
                <w:sz w:val="18"/>
                <w:szCs w:val="18"/>
              </w:rPr>
              <w:t xml:space="preserve">5 ) </w:t>
            </w:r>
            <w:r>
              <w:rPr>
                <w:color w:val="000000"/>
                <w:spacing w:val="0"/>
                <w:w w:val="100"/>
                <w:position w:val="0"/>
                <w:lang w:val="zh-CN" w:eastAsia="zh-CN" w:bidi="zh-CN"/>
              </w:rPr>
              <w:t>“公</w:t>
            </w:r>
            <w:r>
              <w:rPr>
                <w:color w:val="000000"/>
                <w:spacing w:val="0"/>
                <w:w w:val="100"/>
                <w:position w:val="0"/>
              </w:rPr>
              <w:t>费控率{分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140"/>
              <w:jc w:val="left"/>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6" w:lineRule="exact"/>
              <w:ind w:left="0" w:right="0" w:firstLine="0"/>
              <w:jc w:val="left"/>
              <w:rPr>
                <w:sz w:val="16"/>
                <w:szCs w:val="16"/>
              </w:rPr>
            </w:pPr>
            <w:r>
              <w:rPr>
                <w:color w:val="000000"/>
                <w:spacing w:val="0"/>
                <w:w w:val="100"/>
                <w:position w:val="0"/>
                <w:sz w:val="16"/>
                <w:szCs w:val="16"/>
                <w:lang w:val="zh-CN" w:eastAsia="zh-CN" w:bidi="zh-CN"/>
              </w:rPr>
              <w:t>“三公</w:t>
            </w:r>
            <w:r>
              <w:rPr>
                <w:color w:val="000000"/>
                <w:spacing w:val="0"/>
                <w:w w:val="100"/>
                <w:position w:val="0"/>
                <w:sz w:val="16"/>
                <w:szCs w:val="16"/>
              </w:rPr>
              <w:t>经费”控制率=（</w:t>
            </w:r>
            <w:r>
              <w:rPr>
                <w:color w:val="000000"/>
                <w:spacing w:val="0"/>
                <w:w w:val="100"/>
                <w:position w:val="0"/>
                <w:sz w:val="16"/>
                <w:szCs w:val="16"/>
                <w:lang w:val="zh-CN" w:eastAsia="zh-CN" w:bidi="zh-CN"/>
              </w:rPr>
              <w:t>“三公</w:t>
            </w:r>
            <w:r>
              <w:rPr>
                <w:color w:val="000000"/>
                <w:spacing w:val="0"/>
                <w:w w:val="100"/>
                <w:position w:val="0"/>
                <w:sz w:val="16"/>
                <w:szCs w:val="16"/>
              </w:rPr>
              <w:t xml:space="preserve">经费”实 际支出数/ </w:t>
            </w:r>
            <w:r>
              <w:rPr>
                <w:color w:val="000000"/>
                <w:spacing w:val="0"/>
                <w:w w:val="100"/>
                <w:position w:val="0"/>
                <w:sz w:val="16"/>
                <w:szCs w:val="16"/>
                <w:lang w:val="zh-CN" w:eastAsia="zh-CN" w:bidi="zh-CN"/>
              </w:rPr>
              <w:t>“三公</w:t>
            </w:r>
            <w:r>
              <w:rPr>
                <w:color w:val="000000"/>
                <w:spacing w:val="0"/>
                <w:w w:val="100"/>
                <w:position w:val="0"/>
                <w:sz w:val="16"/>
                <w:szCs w:val="16"/>
              </w:rPr>
              <w:t xml:space="preserve">经费”预算安排数） </w:t>
            </w:r>
            <w:r>
              <w:rPr>
                <w:b/>
                <w:bCs/>
                <w:color w:val="000000"/>
                <w:spacing w:val="0"/>
                <w:w w:val="100"/>
                <w:position w:val="0"/>
                <w:sz w:val="18"/>
                <w:szCs w:val="18"/>
              </w:rPr>
              <w:t>X 100%,</w:t>
            </w:r>
            <w:r>
              <w:rPr>
                <w:color w:val="000000"/>
                <w:spacing w:val="0"/>
                <w:w w:val="100"/>
                <w:position w:val="0"/>
                <w:sz w:val="16"/>
                <w:szCs w:val="16"/>
              </w:rPr>
              <w:t>用以反映和考核部门（单位） 对</w:t>
            </w:r>
            <w:r>
              <w:rPr>
                <w:color w:val="000000"/>
                <w:spacing w:val="0"/>
                <w:w w:val="100"/>
                <w:position w:val="0"/>
                <w:sz w:val="16"/>
                <w:szCs w:val="16"/>
                <w:lang w:val="zh-CN" w:eastAsia="zh-CN" w:bidi="zh-CN"/>
              </w:rPr>
              <w:t>“三公</w:t>
            </w:r>
            <w:r>
              <w:rPr>
                <w:color w:val="000000"/>
                <w:spacing w:val="0"/>
                <w:w w:val="100"/>
                <w:position w:val="0"/>
                <w:sz w:val="16"/>
                <w:szCs w:val="16"/>
              </w:rPr>
              <w:t>经费”的实际控制程度。</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left"/>
              <w:rPr>
                <w:sz w:val="18"/>
                <w:szCs w:val="18"/>
              </w:rPr>
            </w:pPr>
            <w:r>
              <w:rPr>
                <w:color w:val="000000"/>
                <w:spacing w:val="0"/>
                <w:w w:val="100"/>
                <w:position w:val="0"/>
                <w:sz w:val="16"/>
                <w:szCs w:val="16"/>
              </w:rPr>
              <w:t>三公经费控制率</w:t>
            </w:r>
            <w:r>
              <w:rPr>
                <w:b/>
                <w:bCs/>
                <w:color w:val="000000"/>
                <w:spacing w:val="0"/>
                <w:w w:val="100"/>
                <w:position w:val="0"/>
                <w:sz w:val="18"/>
                <w:szCs w:val="18"/>
              </w:rPr>
              <w:t>＜ 100%,</w:t>
            </w:r>
            <w:r>
              <w:rPr>
                <w:b/>
                <w:bCs/>
                <w:i/>
                <w:iCs/>
                <w:color w:val="000000"/>
                <w:spacing w:val="0"/>
                <w:w w:val="100"/>
                <w:position w:val="0"/>
                <w:sz w:val="18"/>
                <w:szCs w:val="18"/>
              </w:rPr>
              <w:t>得</w:t>
            </w:r>
          </w:p>
          <w:p>
            <w:pPr>
              <w:pStyle w:val="22"/>
              <w:keepNext w:val="0"/>
              <w:keepLines w:val="0"/>
              <w:widowControl w:val="0"/>
              <w:shd w:val="clear" w:color="auto" w:fill="auto"/>
              <w:bidi w:val="0"/>
              <w:spacing w:before="0" w:after="0" w:line="216" w:lineRule="exact"/>
              <w:ind w:left="0" w:right="0" w:firstLine="0"/>
              <w:jc w:val="left"/>
              <w:rPr>
                <w:sz w:val="16"/>
                <w:szCs w:val="16"/>
              </w:rPr>
            </w:pPr>
            <w:r>
              <w:rPr>
                <w:b/>
                <w:bCs/>
                <w:color w:val="000000"/>
                <w:spacing w:val="0"/>
                <w:w w:val="100"/>
                <w:position w:val="0"/>
                <w:sz w:val="18"/>
                <w:szCs w:val="18"/>
              </w:rPr>
              <w:t>5</w:t>
            </w:r>
            <w:r>
              <w:rPr>
                <w:color w:val="000000"/>
                <w:spacing w:val="0"/>
                <w:w w:val="100"/>
                <w:position w:val="0"/>
                <w:sz w:val="16"/>
                <w:szCs w:val="16"/>
              </w:rPr>
              <w:t>分，每増加</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个百分点扣</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 xml:space="preserve">5 </w:t>
            </w:r>
            <w:r>
              <w:rPr>
                <w:color w:val="000000"/>
                <w:spacing w:val="0"/>
                <w:w w:val="100"/>
                <w:position w:val="0"/>
                <w:sz w:val="16"/>
                <w:szCs w:val="16"/>
              </w:rPr>
              <w:t>分，扣完为止.</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三公经费控制率=1.51/3.46=43.65%</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b/>
                <w:bCs/>
                <w:color w:val="000000"/>
                <w:spacing w:val="0"/>
                <w:w w:val="100"/>
                <w:position w:val="0"/>
                <w:sz w:val="18"/>
                <w:szCs w:val="18"/>
              </w:rPr>
              <w:t>＜ 100%</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43.65%</w:t>
            </w: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5</w:t>
            </w: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570" w:hRule="exact"/>
          <w:jc w:val="center"/>
        </w:trPr>
        <w:tc>
          <w:tcPr>
            <w:vMerge w:val="continue"/>
            <w:tcBorders>
              <w:left w:val="single" w:color="auto" w:sz="4" w:space="0"/>
              <w:bottom w:val="single" w:color="auto" w:sz="4" w:space="0"/>
            </w:tcBorders>
            <w:shd w:val="clear" w:color="auto" w:fill="FFFFFF"/>
            <w:textDirection w:val="tbRlV"/>
            <w:vAlign w:val="bottom"/>
          </w:tcPr>
          <w:p/>
        </w:tc>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66" w:lineRule="exact"/>
              <w:ind w:left="0" w:right="0" w:firstLine="0"/>
              <w:jc w:val="center"/>
            </w:pPr>
            <w:r>
              <w:rPr>
                <w:color w:val="000000"/>
                <w:spacing w:val="0"/>
                <w:w w:val="100"/>
                <w:position w:val="0"/>
              </w:rPr>
              <w:t xml:space="preserve">产理范 </w:t>
            </w:r>
            <w:r>
              <w:rPr>
                <w:b/>
                <w:bCs/>
                <w:color w:val="000000"/>
                <w:spacing w:val="0"/>
                <w:w w:val="100"/>
                <w:position w:val="0"/>
                <w:sz w:val="18"/>
                <w:szCs w:val="18"/>
              </w:rPr>
              <w:t xml:space="preserve">5 ) </w:t>
            </w:r>
            <w:r>
              <w:rPr>
                <w:color w:val="000000"/>
                <w:spacing w:val="0"/>
                <w:w w:val="100"/>
                <w:position w:val="0"/>
              </w:rPr>
              <w:t>资管规性</w:t>
            </w:r>
            <w:r>
              <w:rPr>
                <w:color w:val="000000"/>
                <w:spacing w:val="0"/>
                <w:w w:val="100"/>
                <w:position w:val="0"/>
                <w:lang w:val="zh-CN" w:eastAsia="zh-CN" w:bidi="zh-CN"/>
              </w:rPr>
              <w:t>{分</w:t>
            </w:r>
          </w:p>
        </w:tc>
        <w:tc>
          <w:tcPr>
            <w:tcBorders>
              <w:top w:val="single" w:color="auto" w:sz="4" w:space="0"/>
              <w:left w:val="single" w:color="auto" w:sz="4" w:space="0"/>
              <w:bottom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140"/>
              <w:jc w:val="left"/>
              <w:rPr>
                <w:sz w:val="18"/>
                <w:szCs w:val="18"/>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pStyle w:val="22"/>
              <w:keepNext w:val="0"/>
              <w:keepLines w:val="0"/>
              <w:widowControl w:val="0"/>
              <w:shd w:val="clear" w:color="auto" w:fill="auto"/>
              <w:bidi w:val="0"/>
              <w:spacing w:before="0" w:after="180" w:line="209" w:lineRule="exact"/>
              <w:ind w:left="0" w:right="0" w:firstLine="0"/>
              <w:jc w:val="left"/>
              <w:rPr>
                <w:sz w:val="16"/>
                <w:szCs w:val="16"/>
              </w:rPr>
            </w:pPr>
            <w:r>
              <w:rPr>
                <w:color w:val="000000"/>
                <w:spacing w:val="0"/>
                <w:w w:val="100"/>
                <w:position w:val="0"/>
                <w:sz w:val="16"/>
                <w:szCs w:val="16"/>
              </w:rPr>
              <w:t>部门（单位）资产管理是否规范，用以 反映和考核部门（单位）资产管理情况</w:t>
            </w:r>
          </w:p>
          <w:p>
            <w:pPr>
              <w:pStyle w:val="22"/>
              <w:keepNext w:val="0"/>
              <w:keepLines w:val="0"/>
              <w:widowControl w:val="0"/>
              <w:numPr>
                <w:ilvl w:val="0"/>
                <w:numId w:val="1"/>
              </w:numPr>
              <w:shd w:val="clear" w:color="auto" w:fill="auto"/>
              <w:tabs>
                <w:tab w:val="left" w:pos="158"/>
              </w:tabs>
              <w:bidi w:val="0"/>
              <w:spacing w:before="0" w:after="0" w:line="209" w:lineRule="exact"/>
              <w:ind w:left="0" w:right="0" w:firstLine="0"/>
              <w:jc w:val="left"/>
              <w:rPr>
                <w:sz w:val="16"/>
                <w:szCs w:val="16"/>
              </w:rPr>
            </w:pPr>
            <w:r>
              <w:rPr>
                <w:color w:val="000000"/>
                <w:spacing w:val="0"/>
                <w:w w:val="100"/>
                <w:position w:val="0"/>
                <w:sz w:val="16"/>
                <w:szCs w:val="16"/>
              </w:rPr>
              <w:t>新增资产配置按预算执行.</w:t>
            </w:r>
          </w:p>
          <w:p>
            <w:pPr>
              <w:pStyle w:val="22"/>
              <w:keepNext w:val="0"/>
              <w:keepLines w:val="0"/>
              <w:widowControl w:val="0"/>
              <w:numPr>
                <w:ilvl w:val="0"/>
                <w:numId w:val="1"/>
              </w:numPr>
              <w:shd w:val="clear" w:color="auto" w:fill="auto"/>
              <w:tabs>
                <w:tab w:val="left" w:pos="180"/>
              </w:tabs>
              <w:bidi w:val="0"/>
              <w:spacing w:before="0" w:after="180" w:line="209" w:lineRule="exact"/>
              <w:ind w:left="0" w:right="0" w:firstLine="0"/>
              <w:jc w:val="left"/>
              <w:rPr>
                <w:sz w:val="16"/>
                <w:szCs w:val="16"/>
              </w:rPr>
            </w:pPr>
            <w:r>
              <w:rPr>
                <w:color w:val="000000"/>
                <w:spacing w:val="0"/>
                <w:w w:val="100"/>
                <w:position w:val="0"/>
                <w:sz w:val="16"/>
                <w:szCs w:val="16"/>
              </w:rPr>
              <w:t>资产有偿使用、处置按规定程序审批</w:t>
            </w:r>
          </w:p>
          <w:p>
            <w:pPr>
              <w:pStyle w:val="22"/>
              <w:keepNext w:val="0"/>
              <w:keepLines w:val="0"/>
              <w:widowControl w:val="0"/>
              <w:numPr>
                <w:ilvl w:val="0"/>
                <w:numId w:val="1"/>
              </w:numPr>
              <w:shd w:val="clear" w:color="auto" w:fill="auto"/>
              <w:tabs>
                <w:tab w:val="left" w:pos="173"/>
              </w:tabs>
              <w:bidi w:val="0"/>
              <w:spacing w:before="0" w:after="180" w:line="209" w:lineRule="exact"/>
              <w:ind w:left="0" w:right="0" w:firstLine="0"/>
              <w:jc w:val="left"/>
              <w:rPr>
                <w:sz w:val="16"/>
                <w:szCs w:val="16"/>
              </w:rPr>
            </w:pPr>
            <w:r>
              <w:rPr>
                <w:color w:val="000000"/>
                <w:spacing w:val="0"/>
                <w:w w:val="100"/>
                <w:position w:val="0"/>
                <w:sz w:val="16"/>
                <w:szCs w:val="16"/>
              </w:rPr>
              <w:t>资产收益及时、足额上缴财政.</w:t>
            </w:r>
          </w:p>
        </w:tc>
        <w:tc>
          <w:tcPr>
            <w:tcBorders>
              <w:top w:val="single" w:color="auto" w:sz="4" w:space="0"/>
              <w:left w:val="single" w:color="auto" w:sz="4" w:space="0"/>
              <w:bottom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left"/>
              <w:rPr>
                <w:sz w:val="16"/>
                <w:szCs w:val="16"/>
              </w:rPr>
            </w:pPr>
            <w:r>
              <w:rPr>
                <w:color w:val="000000"/>
                <w:spacing w:val="0"/>
                <w:w w:val="100"/>
                <w:position w:val="0"/>
                <w:sz w:val="16"/>
                <w:szCs w:val="16"/>
              </w:rPr>
              <w:t>全部符合</w:t>
            </w:r>
            <w:r>
              <w:rPr>
                <w:b/>
                <w:bCs/>
                <w:color w:val="000000"/>
                <w:spacing w:val="0"/>
                <w:w w:val="100"/>
                <w:position w:val="0"/>
                <w:sz w:val="18"/>
                <w:szCs w:val="18"/>
              </w:rPr>
              <w:t>5</w:t>
            </w:r>
            <w:r>
              <w:rPr>
                <w:color w:val="000000"/>
                <w:spacing w:val="0"/>
                <w:w w:val="100"/>
                <w:position w:val="0"/>
                <w:sz w:val="16"/>
                <w:szCs w:val="16"/>
              </w:rPr>
              <w:t>分，有</w:t>
            </w:r>
            <w:r>
              <w:rPr>
                <w:b/>
                <w:bCs/>
                <w:color w:val="000000"/>
                <w:spacing w:val="0"/>
                <w:w w:val="100"/>
                <w:position w:val="0"/>
                <w:sz w:val="18"/>
                <w:szCs w:val="18"/>
              </w:rPr>
              <w:t>1</w:t>
            </w:r>
            <w:r>
              <w:rPr>
                <w:color w:val="000000"/>
                <w:spacing w:val="0"/>
                <w:w w:val="100"/>
                <w:position w:val="0"/>
                <w:sz w:val="16"/>
                <w:szCs w:val="16"/>
              </w:rPr>
              <w:t>项不符扣</w:t>
            </w:r>
            <w:r>
              <w:rPr>
                <w:b/>
                <w:bCs/>
                <w:color w:val="000000"/>
                <w:spacing w:val="0"/>
                <w:w w:val="100"/>
                <w:position w:val="0"/>
                <w:sz w:val="18"/>
                <w:szCs w:val="18"/>
              </w:rPr>
              <w:t>2</w:t>
            </w:r>
            <w:r>
              <w:rPr>
                <w:color w:val="000000"/>
                <w:spacing w:val="0"/>
                <w:w w:val="100"/>
                <w:position w:val="0"/>
                <w:sz w:val="16"/>
                <w:szCs w:val="16"/>
              </w:rPr>
              <w:t>分， 扣完为止.</w:t>
            </w: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20"/>
                <w:szCs w:val="20"/>
                <w:lang w:val="en-US" w:eastAsia="zh-CN"/>
              </w:rPr>
            </w:p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eastAsia" w:eastAsia="宋体"/>
                <w:sz w:val="20"/>
                <w:szCs w:val="20"/>
                <w:lang w:val="en-US" w:eastAsia="zh-CN"/>
              </w:rPr>
            </w:p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eastAsia" w:eastAsia="宋体"/>
                <w:sz w:val="20"/>
                <w:szCs w:val="20"/>
                <w:lang w:val="en-US" w:eastAsia="zh-CN"/>
              </w:rPr>
            </w:p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5</w:t>
            </w: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eastAsia" w:eastAsia="宋体"/>
                <w:sz w:val="20"/>
                <w:szCs w:val="20"/>
                <w:lang w:val="en-US" w:eastAsia="zh-CN"/>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spacing w:line="1" w:lineRule="exact"/>
        <w:rPr>
          <w:sz w:val="2"/>
          <w:szCs w:val="2"/>
        </w:rPr>
      </w:pPr>
      <w:r>
        <w:br w:type="page"/>
      </w:r>
    </w:p>
    <w:tbl>
      <w:tblPr>
        <w:tblStyle w:val="5"/>
        <w:tblW w:w="0" w:type="auto"/>
        <w:jc w:val="center"/>
        <w:tblLayout w:type="fixed"/>
        <w:tblCellMar>
          <w:top w:w="0" w:type="dxa"/>
          <w:left w:w="10" w:type="dxa"/>
          <w:bottom w:w="0" w:type="dxa"/>
          <w:right w:w="10" w:type="dxa"/>
        </w:tblCellMar>
      </w:tblPr>
      <w:tblGrid>
        <w:gridCol w:w="504"/>
        <w:gridCol w:w="634"/>
        <w:gridCol w:w="490"/>
        <w:gridCol w:w="331"/>
        <w:gridCol w:w="3312"/>
        <w:gridCol w:w="2628"/>
        <w:gridCol w:w="1073"/>
        <w:gridCol w:w="713"/>
        <w:gridCol w:w="713"/>
        <w:gridCol w:w="583"/>
        <w:gridCol w:w="1562"/>
        <w:gridCol w:w="1426"/>
      </w:tblGrid>
      <w:tr>
        <w:tblPrEx>
          <w:tblCellMar>
            <w:top w:w="0" w:type="dxa"/>
            <w:left w:w="10" w:type="dxa"/>
            <w:bottom w:w="0" w:type="dxa"/>
            <w:right w:w="10" w:type="dxa"/>
          </w:tblCellMar>
        </w:tblPrEx>
        <w:trPr>
          <w:trHeight w:val="720" w:hRule="exact"/>
          <w:jc w:val="center"/>
        </w:trPr>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30" w:lineRule="exact"/>
              <w:ind w:left="0" w:right="0" w:firstLine="0"/>
              <w:jc w:val="both"/>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二级 招标</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both"/>
              <w:rPr>
                <w:sz w:val="16"/>
                <w:szCs w:val="16"/>
              </w:rPr>
            </w:pPr>
            <w:r>
              <w:rPr>
                <w:color w:val="000000"/>
                <w:spacing w:val="0"/>
                <w:w w:val="100"/>
                <w:position w:val="0"/>
                <w:sz w:val="16"/>
                <w:szCs w:val="16"/>
              </w:rPr>
              <w:t>三级 指标</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bottom"/>
          </w:tcPr>
          <w:p>
            <w:pPr>
              <w:pStyle w:val="2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指标值计算 公式和数据 获取方式</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年初目 标值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实际完</w:t>
            </w:r>
          </w:p>
          <w:p>
            <w:pPr>
              <w:pStyle w:val="22"/>
              <w:keepNext w:val="0"/>
              <w:keepLines w:val="0"/>
              <w:widowControl w:val="0"/>
              <w:shd w:val="clear" w:color="auto" w:fill="auto"/>
              <w:bidi w:val="0"/>
              <w:spacing w:before="0" w:after="0" w:line="240" w:lineRule="auto"/>
              <w:ind w:left="0" w:right="180" w:firstLine="0"/>
              <w:jc w:val="right"/>
              <w:rPr>
                <w:sz w:val="16"/>
                <w:szCs w:val="16"/>
              </w:rPr>
            </w:pPr>
            <w:r>
              <w:rPr>
                <w:color w:val="000000"/>
                <w:spacing w:val="0"/>
                <w:w w:val="100"/>
                <w:position w:val="0"/>
                <w:sz w:val="16"/>
                <w:szCs w:val="16"/>
              </w:rPr>
              <w:t>成值</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22"/>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2520" w:hRule="exact"/>
          <w:jc w:val="center"/>
        </w:trPr>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过程</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6"/>
                <w:szCs w:val="16"/>
              </w:rPr>
              <w:t>管</w:t>
            </w:r>
            <w:r>
              <w:rPr>
                <w:b/>
                <w:bCs/>
                <w:color w:val="000000"/>
                <w:spacing w:val="0"/>
                <w:w w:val="100"/>
                <w:position w:val="0"/>
                <w:sz w:val="18"/>
                <w:szCs w:val="18"/>
              </w:rPr>
              <w:t>15</w:t>
            </w:r>
          </w:p>
          <w:p>
            <w:pPr>
              <w:pStyle w:val="28"/>
              <w:keepNext w:val="0"/>
              <w:keepLines w:val="0"/>
              <w:widowControl w:val="0"/>
              <w:shd w:val="clear" w:color="auto" w:fill="auto"/>
              <w:bidi w:val="0"/>
              <w:spacing w:before="0" w:after="0" w:line="202" w:lineRule="exact"/>
              <w:ind w:left="0" w:right="0" w:firstLine="0"/>
              <w:jc w:val="center"/>
            </w:pPr>
            <w:r>
              <w:rPr>
                <w:color w:val="000000"/>
                <w:spacing w:val="0"/>
                <w:w w:val="100"/>
                <w:position w:val="0"/>
              </w:rPr>
              <w:t>算</w:t>
            </w:r>
            <w:r>
              <w:rPr>
                <w:b/>
                <w:bCs/>
                <w:color w:val="000000"/>
                <w:spacing w:val="0"/>
                <w:w w:val="100"/>
                <w:position w:val="0"/>
                <w:sz w:val="18"/>
                <w:szCs w:val="18"/>
              </w:rPr>
              <w:t xml:space="preserve">1 &gt; </w:t>
            </w:r>
            <w:r>
              <w:rPr>
                <w:color w:val="000000"/>
                <w:spacing w:val="0"/>
                <w:w w:val="100"/>
                <w:position w:val="0"/>
              </w:rPr>
              <w:t>预理分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金用规 </w:t>
            </w:r>
            <w:r>
              <w:rPr>
                <w:b/>
                <w:bCs/>
                <w:color w:val="000000"/>
                <w:spacing w:val="0"/>
                <w:w w:val="100"/>
                <w:position w:val="0"/>
                <w:sz w:val="18"/>
                <w:szCs w:val="18"/>
              </w:rPr>
              <w:t xml:space="preserve">5 ) </w:t>
            </w:r>
            <w:r>
              <w:rPr>
                <w:color w:val="000000"/>
                <w:spacing w:val="0"/>
                <w:w w:val="100"/>
                <w:position w:val="0"/>
              </w:rPr>
              <w:t>资使合</w:t>
            </w:r>
            <w:r>
              <w:rPr>
                <w:color w:val="000000"/>
                <w:spacing w:val="0"/>
                <w:w w:val="100"/>
                <w:position w:val="0"/>
                <w:u w:val="single"/>
              </w:rPr>
              <w:t>性 &lt; 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bottom"/>
          </w:tcPr>
          <w:p>
            <w:pPr>
              <w:pStyle w:val="22"/>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部门（单位）使用预算资金是否符合相 关的预算财务管理制度的规定，用以反 映和考核部门（单位）预算资金的规范 运行情况.</w:t>
            </w:r>
          </w:p>
          <w:p>
            <w:pPr>
              <w:pStyle w:val="22"/>
              <w:keepNext w:val="0"/>
              <w:keepLines w:val="0"/>
              <w:widowControl w:val="0"/>
              <w:numPr>
                <w:ilvl w:val="0"/>
                <w:numId w:val="2"/>
              </w:numPr>
              <w:shd w:val="clear" w:color="auto" w:fill="auto"/>
              <w:tabs>
                <w:tab w:val="left" w:pos="166"/>
              </w:tabs>
              <w:bidi w:val="0"/>
              <w:spacing w:before="0" w:after="0" w:line="211" w:lineRule="exact"/>
              <w:ind w:left="0" w:right="0" w:firstLine="0"/>
              <w:jc w:val="left"/>
              <w:rPr>
                <w:sz w:val="16"/>
                <w:szCs w:val="16"/>
              </w:rPr>
            </w:pPr>
            <w:r>
              <w:rPr>
                <w:color w:val="000000"/>
                <w:spacing w:val="0"/>
                <w:w w:val="100"/>
                <w:position w:val="0"/>
                <w:sz w:val="16"/>
                <w:szCs w:val="16"/>
              </w:rPr>
              <w:t>符合国家财经法规和财务管理制度规 定以及有关专项资金管理办法的规定；</w:t>
            </w:r>
          </w:p>
          <w:p>
            <w:pPr>
              <w:pStyle w:val="22"/>
              <w:keepNext w:val="0"/>
              <w:keepLines w:val="0"/>
              <w:widowControl w:val="0"/>
              <w:numPr>
                <w:ilvl w:val="0"/>
                <w:numId w:val="2"/>
              </w:numPr>
              <w:shd w:val="clear" w:color="auto" w:fill="auto"/>
              <w:tabs>
                <w:tab w:val="left" w:pos="180"/>
              </w:tabs>
              <w:bidi w:val="0"/>
              <w:spacing w:before="0" w:after="0" w:line="211" w:lineRule="exact"/>
              <w:ind w:left="0" w:right="0" w:firstLine="0"/>
              <w:jc w:val="left"/>
              <w:rPr>
                <w:sz w:val="16"/>
                <w:szCs w:val="16"/>
              </w:rPr>
            </w:pPr>
            <w:r>
              <w:rPr>
                <w:color w:val="000000"/>
                <w:spacing w:val="0"/>
                <w:w w:val="100"/>
                <w:position w:val="0"/>
                <w:sz w:val="16"/>
                <w:szCs w:val="16"/>
              </w:rPr>
              <w:t>资金的拨付有完整的审批程序和手 续；</w:t>
            </w:r>
          </w:p>
          <w:p>
            <w:pPr>
              <w:pStyle w:val="22"/>
              <w:keepNext w:val="0"/>
              <w:keepLines w:val="0"/>
              <w:widowControl w:val="0"/>
              <w:numPr>
                <w:ilvl w:val="0"/>
                <w:numId w:val="2"/>
              </w:numPr>
              <w:shd w:val="clear" w:color="auto" w:fill="auto"/>
              <w:tabs>
                <w:tab w:val="left" w:pos="173"/>
              </w:tabs>
              <w:bidi w:val="0"/>
              <w:spacing w:before="0" w:after="0" w:line="211" w:lineRule="exact"/>
              <w:ind w:left="0" w:right="0" w:firstLine="0"/>
              <w:jc w:val="left"/>
              <w:rPr>
                <w:sz w:val="16"/>
                <w:szCs w:val="16"/>
              </w:rPr>
            </w:pPr>
            <w:r>
              <w:rPr>
                <w:color w:val="000000"/>
                <w:spacing w:val="0"/>
                <w:w w:val="100"/>
                <w:position w:val="0"/>
                <w:sz w:val="16"/>
                <w:szCs w:val="16"/>
              </w:rPr>
              <w:t>章大项目开支经过评估论证；</w:t>
            </w:r>
          </w:p>
          <w:p>
            <w:pPr>
              <w:pStyle w:val="22"/>
              <w:keepNext w:val="0"/>
              <w:keepLines w:val="0"/>
              <w:widowControl w:val="0"/>
              <w:numPr>
                <w:ilvl w:val="0"/>
                <w:numId w:val="2"/>
              </w:numPr>
              <w:shd w:val="clear" w:color="auto" w:fill="auto"/>
              <w:tabs>
                <w:tab w:val="left" w:pos="166"/>
              </w:tabs>
              <w:bidi w:val="0"/>
              <w:spacing w:before="0" w:after="0" w:line="211" w:lineRule="exact"/>
              <w:ind w:left="0" w:right="0" w:firstLine="0"/>
              <w:jc w:val="left"/>
              <w:rPr>
                <w:sz w:val="16"/>
                <w:szCs w:val="16"/>
              </w:rPr>
            </w:pPr>
            <w:r>
              <w:rPr>
                <w:color w:val="000000"/>
                <w:spacing w:val="0"/>
                <w:w w:val="100"/>
                <w:position w:val="0"/>
                <w:sz w:val="16"/>
                <w:szCs w:val="16"/>
              </w:rPr>
              <w:t>符合部门预算批复的用途；</w:t>
            </w:r>
          </w:p>
          <w:p>
            <w:pPr>
              <w:pStyle w:val="22"/>
              <w:keepNext w:val="0"/>
              <w:keepLines w:val="0"/>
              <w:widowControl w:val="0"/>
              <w:numPr>
                <w:ilvl w:val="0"/>
                <w:numId w:val="2"/>
              </w:numPr>
              <w:shd w:val="clear" w:color="auto" w:fill="auto"/>
              <w:tabs>
                <w:tab w:val="left" w:pos="187"/>
              </w:tabs>
              <w:bidi w:val="0"/>
              <w:spacing w:before="0" w:after="0" w:line="211" w:lineRule="exact"/>
              <w:ind w:left="0" w:right="0" w:firstLine="0"/>
              <w:jc w:val="left"/>
              <w:rPr>
                <w:sz w:val="16"/>
                <w:szCs w:val="16"/>
              </w:rPr>
            </w:pPr>
            <w:r>
              <w:rPr>
                <w:color w:val="000000"/>
                <w:spacing w:val="0"/>
                <w:w w:val="100"/>
                <w:position w:val="0"/>
                <w:sz w:val="16"/>
                <w:szCs w:val="16"/>
              </w:rPr>
              <w:t>不存在截留、挤占、挪用、虚列支出 等情况.</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全部符合</w:t>
            </w:r>
            <w:r>
              <w:rPr>
                <w:b/>
                <w:bCs/>
                <w:color w:val="000000"/>
                <w:spacing w:val="0"/>
                <w:w w:val="100"/>
                <w:position w:val="0"/>
                <w:sz w:val="18"/>
                <w:szCs w:val="18"/>
              </w:rPr>
              <w:t>5</w:t>
            </w:r>
            <w:r>
              <w:rPr>
                <w:color w:val="000000"/>
                <w:spacing w:val="0"/>
                <w:w w:val="100"/>
                <w:position w:val="0"/>
                <w:sz w:val="16"/>
                <w:szCs w:val="16"/>
              </w:rPr>
              <w:t>分，有</w:t>
            </w:r>
            <w:r>
              <w:rPr>
                <w:b/>
                <w:bCs/>
                <w:color w:val="000000"/>
                <w:spacing w:val="0"/>
                <w:w w:val="100"/>
                <w:position w:val="0"/>
                <w:sz w:val="18"/>
                <w:szCs w:val="18"/>
              </w:rPr>
              <w:t>1</w:t>
            </w:r>
            <w:r>
              <w:rPr>
                <w:color w:val="000000"/>
                <w:spacing w:val="0"/>
                <w:w w:val="100"/>
                <w:position w:val="0"/>
                <w:sz w:val="16"/>
                <w:szCs w:val="16"/>
              </w:rPr>
              <w:t>项不符扣</w:t>
            </w:r>
            <w:r>
              <w:rPr>
                <w:b/>
                <w:bCs/>
                <w:color w:val="000000"/>
                <w:spacing w:val="0"/>
                <w:w w:val="100"/>
                <w:position w:val="0"/>
                <w:sz w:val="18"/>
                <w:szCs w:val="18"/>
              </w:rPr>
              <w:t>2</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shd w:val="clear" w:color="auto" w:fill="auto"/>
              <w:rPr>
                <w:rFonts w:hint="eastAsia" w:eastAsia="宋体"/>
                <w:sz w:val="20"/>
                <w:szCs w:val="20"/>
                <w:lang w:val="en-US" w:eastAsia="zh-CN"/>
              </w:rPr>
            </w:pPr>
            <w:r>
              <w:rPr>
                <w:rFonts w:hint="eastAsia" w:eastAsia="宋体"/>
                <w:sz w:val="20"/>
                <w:szCs w:val="20"/>
                <w:lang w:val="en-US" w:eastAsia="zh-CN"/>
              </w:rPr>
              <w:t>5</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426" w:hRule="exact"/>
          <w:jc w:val="center"/>
        </w:trPr>
        <w:tc>
          <w:tcPr>
            <w:vMerge w:val="restart"/>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效果</w:t>
            </w:r>
          </w:p>
        </w:tc>
        <w:tc>
          <w:tcPr>
            <w:vMerge w:val="restart"/>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履职尽 责</w:t>
            </w:r>
            <w:r>
              <w:rPr>
                <w:b/>
                <w:bCs/>
                <w:color w:val="000000"/>
                <w:spacing w:val="0"/>
                <w:w w:val="100"/>
                <w:position w:val="0"/>
                <w:sz w:val="18"/>
                <w:szCs w:val="18"/>
              </w:rPr>
              <w:t xml:space="preserve">（60 </w:t>
            </w:r>
            <w:r>
              <w:rPr>
                <w:color w:val="000000"/>
                <w:spacing w:val="0"/>
                <w:w w:val="100"/>
                <w:position w:val="0"/>
                <w:sz w:val="16"/>
                <w:szCs w:val="16"/>
              </w:rPr>
              <w:t>分）</w:t>
            </w:r>
          </w:p>
        </w:tc>
        <w:tc>
          <w:tcPr>
            <w:tcBorders>
              <w:top w:val="single" w:color="auto" w:sz="4" w:space="0"/>
              <w:left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94" w:lineRule="exact"/>
              <w:ind w:left="0" w:right="0" w:firstLine="0"/>
              <w:jc w:val="center"/>
            </w:pPr>
            <w:r>
              <w:rPr>
                <w:color w:val="000000"/>
                <w:spacing w:val="0"/>
                <w:w w:val="100"/>
                <w:position w:val="0"/>
              </w:rPr>
              <w:t>目出</w:t>
            </w:r>
            <w:r>
              <w:rPr>
                <w:b/>
                <w:bCs/>
                <w:color w:val="000000"/>
                <w:spacing w:val="0"/>
                <w:w w:val="100"/>
                <w:position w:val="0"/>
                <w:sz w:val="18"/>
                <w:szCs w:val="18"/>
              </w:rPr>
              <w:t xml:space="preserve">40&gt; </w:t>
            </w:r>
            <w:r>
              <w:rPr>
                <w:color w:val="000000"/>
                <w:spacing w:val="0"/>
                <w:w w:val="100"/>
                <w:position w:val="0"/>
              </w:rPr>
              <w:t>项产{分</w:t>
            </w:r>
          </w:p>
        </w:tc>
        <w:tc>
          <w:tcPr>
            <w:tcBorders>
              <w:top w:val="single" w:color="auto" w:sz="4" w:space="0"/>
              <w:left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40</w:t>
            </w:r>
          </w:p>
        </w:tc>
        <w:tc>
          <w:tcPr>
            <w:tcBorders>
              <w:top w:val="single" w:color="auto" w:sz="4" w:space="0"/>
              <w:left w:val="single" w:color="auto" w:sz="4" w:space="0"/>
            </w:tcBorders>
            <w:shd w:val="clear" w:color="auto" w:fill="FFFFFF"/>
            <w:vAlign w:val="top"/>
          </w:tcPr>
          <w:p>
            <w:pPr>
              <w:widowControl w:val="0"/>
              <w:rPr>
                <w:sz w:val="10"/>
                <w:szCs w:val="10"/>
              </w:rPr>
            </w:pPr>
          </w:p>
        </w:tc>
        <w:tc>
          <w:tcPr>
            <w:vMerge w:val="restart"/>
            <w:tcBorders>
              <w:top w:val="single" w:color="auto" w:sz="4" w:space="0"/>
              <w:left w:val="single" w:color="auto" w:sz="4" w:space="0"/>
            </w:tcBorders>
            <w:shd w:val="clear" w:color="auto" w:fill="FFFFFF"/>
            <w:vAlign w:val="center"/>
          </w:tcPr>
          <w:p>
            <w:pPr>
              <w:pStyle w:val="22"/>
              <w:keepNext w:val="0"/>
              <w:keepLines w:val="0"/>
              <w:widowControl w:val="0"/>
              <w:numPr>
                <w:ilvl w:val="0"/>
                <w:numId w:val="3"/>
              </w:numPr>
              <w:shd w:val="clear" w:color="auto" w:fill="auto"/>
              <w:tabs>
                <w:tab w:val="left" w:pos="187"/>
              </w:tabs>
              <w:bidi w:val="0"/>
              <w:spacing w:before="0" w:after="0" w:line="209" w:lineRule="exact"/>
              <w:ind w:left="0" w:right="0" w:firstLine="0"/>
              <w:jc w:val="both"/>
              <w:rPr>
                <w:sz w:val="16"/>
                <w:szCs w:val="16"/>
              </w:rPr>
            </w:pPr>
            <w:r>
              <w:rPr>
                <w:color w:val="000000"/>
                <w:spacing w:val="0"/>
                <w:w w:val="100"/>
                <w:position w:val="0"/>
                <w:sz w:val="16"/>
                <w:szCs w:val="16"/>
              </w:rPr>
              <w:t>若为定性指标，根据</w:t>
            </w:r>
            <w:r>
              <w:rPr>
                <w:color w:val="000000"/>
                <w:spacing w:val="0"/>
                <w:w w:val="100"/>
                <w:position w:val="0"/>
                <w:sz w:val="16"/>
                <w:szCs w:val="16"/>
                <w:lang w:val="zh-CN" w:eastAsia="zh-CN" w:bidi="zh-CN"/>
              </w:rPr>
              <w:t>“三</w:t>
            </w:r>
            <w:r>
              <w:rPr>
                <w:color w:val="000000"/>
                <w:spacing w:val="0"/>
                <w:w w:val="100"/>
                <w:position w:val="0"/>
                <w:sz w:val="16"/>
                <w:szCs w:val="16"/>
              </w:rPr>
              <w:t>档” 原则分别按照指标分值的</w:t>
            </w:r>
            <w:r>
              <w:rPr>
                <w:b/>
                <w:bCs/>
                <w:color w:val="000000"/>
                <w:spacing w:val="0"/>
                <w:w w:val="100"/>
                <w:position w:val="0"/>
                <w:sz w:val="18"/>
                <w:szCs w:val="18"/>
              </w:rPr>
              <w:t xml:space="preserve">10 </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80% （</w:t>
            </w:r>
            <w:r>
              <w:rPr>
                <w:color w:val="000000"/>
                <w:spacing w:val="0"/>
                <w:w w:val="100"/>
                <w:position w:val="0"/>
                <w:sz w:val="16"/>
                <w:szCs w:val="16"/>
              </w:rPr>
              <w:t>含）、</w:t>
            </w:r>
            <w:r>
              <w:rPr>
                <w:b/>
                <w:bCs/>
                <w:color w:val="000000"/>
                <w:spacing w:val="0"/>
                <w:w w:val="100"/>
                <w:position w:val="0"/>
                <w:sz w:val="18"/>
                <w:szCs w:val="18"/>
              </w:rPr>
              <w:t xml:space="preserve">80-50% </w:t>
            </w:r>
            <w:r>
              <w:rPr>
                <w:color w:val="000000"/>
                <w:spacing w:val="0"/>
                <w:w w:val="100"/>
                <w:position w:val="0"/>
                <w:sz w:val="16"/>
                <w:szCs w:val="16"/>
              </w:rPr>
              <w:t>（含）、</w:t>
            </w:r>
            <w:r>
              <w:rPr>
                <w:b/>
                <w:bCs/>
                <w:color w:val="000000"/>
                <w:spacing w:val="0"/>
                <w:w w:val="100"/>
                <w:position w:val="0"/>
                <w:sz w:val="18"/>
                <w:szCs w:val="18"/>
                <w:lang w:val="en-US" w:eastAsia="en-US" w:bidi="en-US"/>
              </w:rPr>
              <w:t xml:space="preserve">50- </w:t>
            </w:r>
            <w:r>
              <w:rPr>
                <w:b/>
                <w:bCs/>
                <w:color w:val="000000"/>
                <w:spacing w:val="0"/>
                <w:w w:val="100"/>
                <w:position w:val="0"/>
                <w:sz w:val="18"/>
                <w:szCs w:val="18"/>
              </w:rPr>
              <w:t>10%</w:t>
            </w:r>
            <w:r>
              <w:rPr>
                <w:color w:val="000000"/>
                <w:spacing w:val="0"/>
                <w:w w:val="100"/>
                <w:position w:val="0"/>
                <w:sz w:val="16"/>
                <w:szCs w:val="16"/>
              </w:rPr>
              <w:t>来记分；</w:t>
            </w:r>
          </w:p>
          <w:p>
            <w:pPr>
              <w:pStyle w:val="22"/>
              <w:keepNext w:val="0"/>
              <w:keepLines w:val="0"/>
              <w:widowControl w:val="0"/>
              <w:numPr>
                <w:ilvl w:val="0"/>
                <w:numId w:val="3"/>
              </w:numPr>
              <w:shd w:val="clear" w:color="auto" w:fill="auto"/>
              <w:tabs>
                <w:tab w:val="left" w:pos="187"/>
              </w:tabs>
              <w:bidi w:val="0"/>
              <w:spacing w:before="0" w:after="0" w:line="209" w:lineRule="exact"/>
              <w:ind w:left="0" w:right="0" w:firstLine="0"/>
              <w:jc w:val="both"/>
              <w:rPr>
                <w:sz w:val="16"/>
                <w:szCs w:val="16"/>
              </w:rPr>
            </w:pPr>
            <w:r>
              <w:rPr>
                <w:color w:val="000000"/>
                <w:spacing w:val="0"/>
                <w:w w:val="100"/>
                <w:position w:val="0"/>
                <w:sz w:val="16"/>
                <w:szCs w:val="16"/>
              </w:rPr>
              <w:t>若为定量指标，完成值达到指 标值，记满分；未达到指标值， 按完成比率计分，正向指标（即 指标值为</w:t>
            </w:r>
            <w:r>
              <w:rPr>
                <w:color w:val="000000"/>
                <w:spacing w:val="0"/>
                <w:w w:val="100"/>
                <w:position w:val="0"/>
                <w:sz w:val="16"/>
                <w:szCs w:val="16"/>
                <w:lang w:val="en-US" w:eastAsia="en-US" w:bidi="en-US"/>
              </w:rPr>
              <w:t>＞*）</w:t>
            </w:r>
            <w:r>
              <w:rPr>
                <w:color w:val="000000"/>
                <w:spacing w:val="0"/>
                <w:w w:val="100"/>
                <w:position w:val="0"/>
                <w:sz w:val="16"/>
                <w:szCs w:val="16"/>
              </w:rPr>
              <w:t>得分=实际完成 值/年初目标值•该指标分值，反 向指标（即指标值为</w:t>
            </w:r>
            <w:r>
              <w:rPr>
                <w:color w:val="000000"/>
                <w:spacing w:val="0"/>
                <w:w w:val="100"/>
                <w:position w:val="0"/>
                <w:sz w:val="16"/>
                <w:szCs w:val="16"/>
                <w:lang w:val="en-US" w:eastAsia="en-US" w:bidi="en-US"/>
              </w:rPr>
              <w:t>＜*）</w:t>
            </w:r>
            <w:r>
              <w:rPr>
                <w:color w:val="000000"/>
                <w:spacing w:val="0"/>
                <w:w w:val="100"/>
                <w:position w:val="0"/>
                <w:sz w:val="16"/>
                <w:szCs w:val="16"/>
              </w:rPr>
              <w:t>得分 =年初目标值/实际完成值*该指 标分值。</w:t>
            </w:r>
          </w:p>
        </w:tc>
        <w:tc>
          <w:tcPr>
            <w:tcBorders>
              <w:top w:val="single" w:color="auto" w:sz="4" w:space="0"/>
              <w:left w:val="single" w:color="auto" w:sz="4" w:space="0"/>
            </w:tcBorders>
            <w:shd w:val="clear" w:color="auto" w:fill="FFFFFF"/>
            <w:vAlign w:val="top"/>
          </w:tcPr>
          <w:p>
            <w:pPr>
              <w:widowControl w:val="0"/>
              <w:rPr>
                <w:rFonts w:hint="eastAsia" w:eastAsia="宋体"/>
                <w:sz w:val="10"/>
                <w:szCs w:val="10"/>
                <w:lang w:val="en-US" w:eastAsia="zh-CN"/>
              </w:rPr>
            </w:pPr>
            <w:r>
              <w:rPr>
                <w:rFonts w:hint="eastAsia"/>
                <w:sz w:val="10"/>
                <w:szCs w:val="10"/>
              </w:rPr>
              <w:t>在职人员控制率</w:t>
            </w:r>
            <w:r>
              <w:rPr>
                <w:rFonts w:hint="eastAsia" w:eastAsia="宋体"/>
                <w:sz w:val="10"/>
                <w:szCs w:val="10"/>
                <w:lang w:val="en-US" w:eastAsia="zh-CN"/>
              </w:rPr>
              <w:t>=95%</w:t>
            </w:r>
          </w:p>
          <w:p>
            <w:pPr>
              <w:widowControl w:val="0"/>
              <w:rPr>
                <w:rFonts w:hint="eastAsia" w:eastAsia="宋体"/>
                <w:sz w:val="10"/>
                <w:szCs w:val="10"/>
                <w:lang w:val="en-US" w:eastAsia="zh-CN"/>
              </w:rPr>
            </w:pPr>
            <w:r>
              <w:rPr>
                <w:rFonts w:hint="default" w:eastAsia="宋体"/>
                <w:sz w:val="10"/>
                <w:szCs w:val="10"/>
                <w:lang w:val="en-US" w:eastAsia="zh-CN"/>
              </w:rPr>
              <w:t>合同执行率</w:t>
            </w:r>
            <w:r>
              <w:rPr>
                <w:rFonts w:hint="eastAsia" w:eastAsia="宋体"/>
                <w:sz w:val="10"/>
                <w:szCs w:val="10"/>
                <w:lang w:val="en-US" w:eastAsia="zh-CN"/>
              </w:rPr>
              <w:t>=100%</w:t>
            </w:r>
          </w:p>
          <w:p>
            <w:pPr>
              <w:widowControl w:val="0"/>
              <w:rPr>
                <w:rFonts w:hint="default" w:eastAsia="宋体"/>
                <w:sz w:val="10"/>
                <w:szCs w:val="10"/>
                <w:lang w:val="en-US" w:eastAsia="zh-CN"/>
              </w:rPr>
            </w:pPr>
            <w:r>
              <w:rPr>
                <w:rFonts w:hint="default" w:eastAsia="宋体"/>
                <w:sz w:val="10"/>
                <w:szCs w:val="10"/>
                <w:lang w:val="en-US" w:eastAsia="zh-CN"/>
              </w:rPr>
              <w:t>年度重点工作办结率</w:t>
            </w:r>
          </w:p>
          <w:p>
            <w:pPr>
              <w:widowControl w:val="0"/>
              <w:rPr>
                <w:rFonts w:hint="eastAsia" w:eastAsia="宋体"/>
                <w:sz w:val="10"/>
                <w:szCs w:val="10"/>
                <w:lang w:val="en-US" w:eastAsia="zh-CN"/>
              </w:rPr>
            </w:pPr>
            <w:r>
              <w:rPr>
                <w:rFonts w:hint="default" w:eastAsia="宋体"/>
                <w:sz w:val="10"/>
                <w:szCs w:val="10"/>
                <w:lang w:val="en-US" w:eastAsia="zh-CN"/>
              </w:rPr>
              <w:t>文件执行率</w:t>
            </w:r>
            <w:r>
              <w:rPr>
                <w:rFonts w:hint="eastAsia" w:eastAsia="宋体"/>
                <w:sz w:val="10"/>
                <w:szCs w:val="10"/>
                <w:lang w:val="en-US" w:eastAsia="zh-CN"/>
              </w:rPr>
              <w:t>=100%</w:t>
            </w:r>
          </w:p>
          <w:p>
            <w:pPr>
              <w:widowControl w:val="0"/>
              <w:rPr>
                <w:rFonts w:hint="default" w:eastAsia="宋体"/>
                <w:sz w:val="10"/>
                <w:szCs w:val="10"/>
                <w:lang w:val="en-US" w:eastAsia="zh-CN"/>
              </w:rPr>
            </w:pPr>
            <w:r>
              <w:rPr>
                <w:rFonts w:hint="default" w:eastAsia="宋体"/>
                <w:sz w:val="10"/>
                <w:szCs w:val="10"/>
                <w:lang w:val="en-US" w:eastAsia="zh-CN"/>
              </w:rPr>
              <w:t>会议召开时间</w:t>
            </w:r>
          </w:p>
        </w:tc>
        <w:tc>
          <w:tcPr>
            <w:tcBorders>
              <w:top w:val="single" w:color="auto" w:sz="4" w:space="0"/>
              <w:left w:val="single" w:color="auto" w:sz="4" w:space="0"/>
            </w:tcBorders>
            <w:shd w:val="clear" w:color="auto" w:fill="FFFFFF"/>
            <w:vAlign w:val="top"/>
          </w:tcPr>
          <w:p>
            <w:pPr>
              <w:widowControl w:val="0"/>
              <w:rPr>
                <w:rFonts w:hint="default" w:eastAsia="宋体"/>
                <w:sz w:val="10"/>
                <w:szCs w:val="10"/>
                <w:lang w:val="en-US" w:eastAsia="zh-CN"/>
              </w:rPr>
            </w:pPr>
            <w:r>
              <w:rPr>
                <w:rFonts w:hint="default" w:eastAsia="宋体"/>
                <w:sz w:val="10"/>
                <w:szCs w:val="10"/>
                <w:lang w:val="en-US" w:eastAsia="zh-CN"/>
              </w:rPr>
              <w:t>≤100%</w:t>
            </w:r>
          </w:p>
          <w:p>
            <w:pPr>
              <w:widowControl w:val="0"/>
              <w:rPr>
                <w:rFonts w:hint="eastAsia" w:eastAsia="宋体"/>
                <w:sz w:val="10"/>
                <w:szCs w:val="10"/>
                <w:lang w:val="en-US" w:eastAsia="zh-CN"/>
              </w:rPr>
            </w:pPr>
            <w:r>
              <w:rPr>
                <w:rFonts w:hint="eastAsia" w:eastAsia="宋体"/>
                <w:sz w:val="10"/>
                <w:szCs w:val="10"/>
                <w:lang w:val="en-US" w:eastAsia="zh-CN"/>
              </w:rPr>
              <w:t>100%</w:t>
            </w:r>
          </w:p>
          <w:p>
            <w:pPr>
              <w:widowControl w:val="0"/>
              <w:rPr>
                <w:rFonts w:hint="eastAsia" w:eastAsia="宋体"/>
                <w:sz w:val="10"/>
                <w:szCs w:val="10"/>
                <w:lang w:val="en-US" w:eastAsia="zh-CN"/>
              </w:rPr>
            </w:pPr>
            <w:r>
              <w:rPr>
                <w:rFonts w:hint="eastAsia" w:eastAsia="宋体"/>
                <w:sz w:val="10"/>
                <w:szCs w:val="10"/>
                <w:lang w:val="en-US" w:eastAsia="zh-CN"/>
              </w:rPr>
              <w:t>100%</w:t>
            </w:r>
          </w:p>
          <w:p>
            <w:pPr>
              <w:widowControl w:val="0"/>
              <w:rPr>
                <w:rFonts w:hint="eastAsia" w:eastAsia="宋体"/>
                <w:sz w:val="10"/>
                <w:szCs w:val="10"/>
                <w:lang w:val="en-US" w:eastAsia="zh-CN"/>
              </w:rPr>
            </w:pPr>
            <w:r>
              <w:rPr>
                <w:rFonts w:hint="eastAsia" w:eastAsia="宋体"/>
                <w:sz w:val="10"/>
                <w:szCs w:val="10"/>
                <w:lang w:val="en-US" w:eastAsia="zh-CN"/>
              </w:rPr>
              <w:t>100%</w:t>
            </w:r>
          </w:p>
          <w:p>
            <w:pPr>
              <w:widowControl w:val="0"/>
              <w:rPr>
                <w:rFonts w:hint="default" w:eastAsia="宋体"/>
                <w:sz w:val="10"/>
                <w:szCs w:val="10"/>
                <w:lang w:val="en-US" w:eastAsia="zh-CN"/>
              </w:rPr>
            </w:pPr>
            <w:r>
              <w:rPr>
                <w:rFonts w:hint="eastAsia" w:eastAsia="宋体"/>
                <w:sz w:val="10"/>
                <w:szCs w:val="10"/>
                <w:lang w:val="en-US" w:eastAsia="zh-CN"/>
              </w:rPr>
              <w:t>100%</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38</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1476" w:hRule="exact"/>
          <w:jc w:val="center"/>
        </w:trPr>
        <w:tc>
          <w:tcPr>
            <w:vMerge w:val="continue"/>
            <w:tcBorders>
              <w:left w:val="single" w:color="auto" w:sz="4" w:space="0"/>
              <w:bottom w:val="single" w:color="auto" w:sz="4" w:space="0"/>
            </w:tcBorders>
            <w:shd w:val="clear" w:color="auto" w:fill="FFFFFF"/>
            <w:textDirection w:val="tbRlV"/>
            <w:vAlign w:val="bottom"/>
          </w:tcPr>
          <w:p/>
        </w:tc>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textDirection w:val="tbRlV"/>
            <w:vAlign w:val="bottom"/>
          </w:tcPr>
          <w:p>
            <w:pPr>
              <w:pStyle w:val="28"/>
              <w:keepNext w:val="0"/>
              <w:keepLines w:val="0"/>
              <w:widowControl w:val="0"/>
              <w:shd w:val="clear" w:color="auto" w:fill="auto"/>
              <w:bidi w:val="0"/>
              <w:spacing w:before="0" w:after="0" w:line="180" w:lineRule="exact"/>
              <w:ind w:left="0" w:right="0" w:firstLine="0"/>
              <w:jc w:val="center"/>
            </w:pPr>
            <w:r>
              <w:rPr>
                <w:color w:val="000000"/>
                <w:spacing w:val="0"/>
                <w:w w:val="100"/>
                <w:position w:val="0"/>
              </w:rPr>
              <w:t>目益</w:t>
            </w:r>
            <w:r>
              <w:rPr>
                <w:b/>
                <w:bCs/>
                <w:color w:val="000000"/>
                <w:spacing w:val="0"/>
                <w:w w:val="100"/>
                <w:position w:val="0"/>
                <w:sz w:val="18"/>
                <w:szCs w:val="18"/>
              </w:rPr>
              <w:t xml:space="preserve">20&gt; </w:t>
            </w:r>
            <w:r>
              <w:rPr>
                <w:color w:val="000000"/>
                <w:spacing w:val="0"/>
                <w:w w:val="100"/>
                <w:position w:val="0"/>
              </w:rPr>
              <w:t>项效{分</w:t>
            </w:r>
          </w:p>
        </w:tc>
        <w:tc>
          <w:tcPr>
            <w:tcBorders>
              <w:top w:val="single" w:color="auto" w:sz="4" w:space="0"/>
              <w:left w:val="single" w:color="auto" w:sz="4" w:space="0"/>
              <w:bottom w:val="single" w:color="auto" w:sz="4" w:space="0"/>
            </w:tcBorders>
            <w:shd w:val="clear" w:color="auto" w:fill="FFFFFF"/>
            <w:vAlign w:val="center"/>
          </w:tcPr>
          <w:p>
            <w:pPr>
              <w:pStyle w:val="22"/>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20</w:t>
            </w: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10"/>
                <w:szCs w:val="10"/>
                <w:lang w:val="en-US" w:eastAsia="zh-CN"/>
              </w:rPr>
            </w:pPr>
          </w:p>
          <w:p>
            <w:pPr>
              <w:widowControl w:val="0"/>
              <w:shd w:val="clear" w:color="auto" w:fill="auto"/>
              <w:rPr>
                <w:rFonts w:hint="eastAsia" w:eastAsia="宋体"/>
                <w:sz w:val="10"/>
                <w:szCs w:val="10"/>
                <w:lang w:val="en-US" w:eastAsia="en-US"/>
              </w:rPr>
            </w:pPr>
            <w:r>
              <w:rPr>
                <w:rFonts w:hint="eastAsia" w:eastAsia="宋体"/>
                <w:sz w:val="10"/>
                <w:szCs w:val="10"/>
                <w:lang w:val="en-US" w:eastAsia="en-US"/>
              </w:rPr>
              <w:t>目标责任考核成果</w:t>
            </w:r>
          </w:p>
          <w:p>
            <w:pPr>
              <w:widowControl w:val="0"/>
              <w:shd w:val="clear" w:color="auto" w:fill="auto"/>
              <w:rPr>
                <w:rFonts w:hint="eastAsia" w:eastAsia="宋体"/>
                <w:sz w:val="10"/>
                <w:szCs w:val="10"/>
                <w:lang w:val="en-US" w:eastAsia="en-US"/>
              </w:rPr>
            </w:pPr>
            <w:r>
              <w:rPr>
                <w:rFonts w:hint="eastAsia" w:eastAsia="宋体"/>
                <w:sz w:val="10"/>
                <w:szCs w:val="10"/>
                <w:lang w:val="en-US" w:eastAsia="en-US"/>
              </w:rPr>
              <w:t>年度计划、部门规划与“三定方案”、区域发展匹配度、一致性、合理性</w:t>
            </w:r>
          </w:p>
          <w:p>
            <w:pPr>
              <w:widowControl w:val="0"/>
              <w:shd w:val="clear" w:color="auto" w:fill="auto"/>
              <w:rPr>
                <w:rFonts w:hint="default" w:eastAsia="宋体"/>
                <w:sz w:val="10"/>
                <w:szCs w:val="10"/>
                <w:lang w:val="en-US" w:eastAsia="en-US"/>
              </w:rPr>
            </w:p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eastAsia" w:eastAsia="宋体"/>
                <w:sz w:val="10"/>
                <w:szCs w:val="10"/>
                <w:lang w:val="en-US" w:eastAsia="zh-CN"/>
              </w:rPr>
            </w:pPr>
          </w:p>
          <w:p>
            <w:pPr>
              <w:widowControl w:val="0"/>
              <w:shd w:val="clear" w:color="auto" w:fill="auto"/>
              <w:rPr>
                <w:rFonts w:hint="eastAsia" w:eastAsia="宋体"/>
                <w:sz w:val="10"/>
                <w:szCs w:val="10"/>
                <w:lang w:val="en-US" w:eastAsia="zh-CN"/>
              </w:rPr>
            </w:pPr>
            <w:r>
              <w:rPr>
                <w:rFonts w:hint="eastAsia" w:eastAsia="宋体"/>
                <w:sz w:val="10"/>
                <w:szCs w:val="10"/>
                <w:lang w:val="en-US" w:eastAsia="zh-CN"/>
              </w:rPr>
              <w:t>优秀</w:t>
            </w:r>
          </w:p>
          <w:p>
            <w:pPr>
              <w:widowControl w:val="0"/>
              <w:shd w:val="clear" w:color="auto" w:fill="auto"/>
              <w:rPr>
                <w:rFonts w:hint="eastAsia" w:eastAsia="宋体"/>
                <w:sz w:val="10"/>
                <w:szCs w:val="10"/>
                <w:lang w:val="en-US" w:eastAsia="zh-CN"/>
              </w:rPr>
            </w:pPr>
          </w:p>
          <w:p>
            <w:pPr>
              <w:widowControl w:val="0"/>
              <w:shd w:val="clear" w:color="auto" w:fill="auto"/>
              <w:rPr>
                <w:rFonts w:hint="default" w:eastAsia="宋体"/>
                <w:sz w:val="10"/>
                <w:szCs w:val="10"/>
                <w:lang w:val="en-US" w:eastAsia="zh-CN"/>
              </w:rPr>
            </w:pPr>
            <w:r>
              <w:rPr>
                <w:rFonts w:hint="eastAsia" w:eastAsia="宋体"/>
                <w:sz w:val="10"/>
                <w:szCs w:val="10"/>
                <w:lang w:val="en-US" w:eastAsia="zh-CN"/>
              </w:rPr>
              <w:t>一致合理</w:t>
            </w: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shd w:val="clear" w:color="auto" w:fill="auto"/>
              <w:rPr>
                <w:rFonts w:hint="default" w:eastAsia="宋体"/>
                <w:sz w:val="20"/>
                <w:szCs w:val="20"/>
                <w:lang w:val="en-US" w:eastAsia="zh-CN"/>
              </w:rPr>
            </w:pPr>
            <w:r>
              <w:rPr>
                <w:rFonts w:hint="eastAsia" w:eastAsia="宋体"/>
                <w:sz w:val="20"/>
                <w:szCs w:val="20"/>
                <w:lang w:val="en-US" w:eastAsia="zh-CN"/>
              </w:rPr>
              <w:t>20</w:t>
            </w: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widowControl w:val="0"/>
        <w:spacing w:after="139" w:line="1" w:lineRule="exact"/>
      </w:pPr>
    </w:p>
    <w:p>
      <w:pPr>
        <w:pStyle w:val="30"/>
        <w:keepNext w:val="0"/>
        <w:keepLines w:val="0"/>
        <w:widowControl w:val="0"/>
        <w:shd w:val="clear" w:color="auto" w:fill="auto"/>
        <w:bidi w:val="0"/>
        <w:spacing w:before="0" w:after="0"/>
        <w:ind w:left="0" w:right="0" w:firstLine="0"/>
        <w:jc w:val="left"/>
      </w:pPr>
      <w:r>
        <w:rPr>
          <w:color w:val="000000"/>
          <w:spacing w:val="0"/>
          <w:w w:val="100"/>
          <w:position w:val="0"/>
        </w:rPr>
        <w:t>备注：</w:t>
      </w:r>
    </w:p>
    <w:p>
      <w:pPr>
        <w:pStyle w:val="30"/>
        <w:keepNext w:val="0"/>
        <w:keepLines w:val="0"/>
        <w:widowControl w:val="0"/>
        <w:shd w:val="clear" w:color="auto" w:fill="auto"/>
        <w:bidi w:val="0"/>
        <w:spacing w:before="0" w:after="0"/>
        <w:ind w:left="0" w:right="0" w:firstLine="0"/>
        <w:jc w:val="left"/>
      </w:pPr>
      <w:r>
        <w:rPr>
          <w:b/>
          <w:bCs/>
          <w:color w:val="000000"/>
          <w:spacing w:val="0"/>
          <w:w w:val="100"/>
          <w:position w:val="0"/>
          <w:sz w:val="18"/>
          <w:szCs w:val="18"/>
          <w:lang w:val="en-US" w:eastAsia="en-US" w:bidi="en-US"/>
        </w:rPr>
        <w:t xml:space="preserve">1. </w:t>
      </w:r>
      <w:r>
        <w:rPr>
          <w:color w:val="000000"/>
          <w:spacing w:val="0"/>
          <w:w w:val="100"/>
          <w:position w:val="0"/>
        </w:rPr>
        <w:t>“須目产出”和</w:t>
      </w:r>
      <w:r>
        <w:rPr>
          <w:color w:val="000000"/>
          <w:spacing w:val="0"/>
          <w:w w:val="100"/>
          <w:position w:val="0"/>
          <w:lang w:val="zh-CN" w:eastAsia="zh-CN" w:bidi="zh-CN"/>
        </w:rPr>
        <w:t>“项目</w:t>
      </w:r>
      <w:r>
        <w:rPr>
          <w:color w:val="000000"/>
          <w:spacing w:val="0"/>
          <w:w w:val="100"/>
          <w:position w:val="0"/>
        </w:rPr>
        <w:t>效果”直接细化成部门年初绩效目标中的指标，并根据重要程度赋权。</w:t>
      </w:r>
    </w:p>
    <w:p>
      <w:pPr>
        <w:pStyle w:val="30"/>
        <w:keepNext w:val="0"/>
        <w:keepLines w:val="0"/>
        <w:widowControl w:val="0"/>
        <w:shd w:val="clear" w:color="auto" w:fill="auto"/>
        <w:bidi w:val="0"/>
        <w:spacing w:before="0" w:after="80"/>
        <w:ind w:left="0" w:right="0" w:firstLine="0"/>
        <w:jc w:val="left"/>
        <w:rPr>
          <w:color w:val="000000"/>
          <w:spacing w:val="0"/>
          <w:w w:val="100"/>
          <w:position w:val="0"/>
        </w:rPr>
      </w:pPr>
      <w:r>
        <w:rPr>
          <w:b/>
          <w:bCs/>
          <w:color w:val="000000"/>
          <w:spacing w:val="0"/>
          <w:w w:val="100"/>
          <w:position w:val="0"/>
          <w:sz w:val="18"/>
          <w:szCs w:val="18"/>
          <w:lang w:val="en-US" w:eastAsia="en-US" w:bidi="en-US"/>
        </w:rPr>
        <w:t xml:space="preserve">2- </w:t>
      </w:r>
      <w:r>
        <w:rPr>
          <w:color w:val="000000"/>
          <w:spacing w:val="0"/>
          <w:w w:val="100"/>
          <w:position w:val="0"/>
          <w:lang w:val="zh-CN" w:eastAsia="zh-CN" w:bidi="zh-CN"/>
        </w:rPr>
        <w:t>“绩</w:t>
      </w:r>
      <w:r>
        <w:rPr>
          <w:color w:val="000000"/>
          <w:spacing w:val="0"/>
          <w:w w:val="100"/>
          <w:position w:val="0"/>
        </w:rPr>
        <w:t>效指标分析"是指参考历史数据、行业标准及绩效目标实际完成情况等相关资料，从“是否与项目密切相关，指标值是否可获取，指标值设置是否合理</w:t>
      </w:r>
      <w:r>
        <w:rPr>
          <w:color w:val="000000"/>
          <w:spacing w:val="0"/>
          <w:w w:val="100"/>
          <w:position w:val="0"/>
          <w:lang w:val="zh-CN" w:eastAsia="zh-CN" w:bidi="zh-CN"/>
        </w:rPr>
        <w:t>”等</w:t>
      </w:r>
      <w:r>
        <w:rPr>
          <w:color w:val="000000"/>
          <w:spacing w:val="0"/>
          <w:w w:val="100"/>
          <w:position w:val="0"/>
        </w:rPr>
        <w:t>角度，从产出和效果类 指标中找出需要改进的指标，并逐项提出次年的编制意见和建议。</w:t>
      </w:r>
    </w:p>
    <w:p>
      <w:pPr>
        <w:pStyle w:val="30"/>
        <w:keepNext w:val="0"/>
        <w:keepLines w:val="0"/>
        <w:widowControl w:val="0"/>
        <w:shd w:val="clear" w:color="auto" w:fill="auto"/>
        <w:bidi w:val="0"/>
        <w:spacing w:before="0" w:after="80"/>
        <w:ind w:left="0" w:right="0" w:firstLine="0"/>
        <w:jc w:val="left"/>
        <w:rPr>
          <w:color w:val="000000"/>
          <w:spacing w:val="0"/>
          <w:w w:val="100"/>
          <w:position w:val="0"/>
        </w:rPr>
      </w:pPr>
    </w:p>
    <w:p>
      <w:pPr>
        <w:rPr>
          <w:color w:val="000000"/>
          <w:spacing w:val="0"/>
          <w:w w:val="100"/>
          <w:position w:val="0"/>
        </w:rPr>
      </w:pPr>
      <w:r>
        <w:rPr>
          <w:color w:val="000000"/>
          <w:spacing w:val="0"/>
          <w:w w:val="100"/>
          <w:position w:val="0"/>
        </w:rPr>
        <w:br w:type="page"/>
      </w:r>
    </w:p>
    <w:p>
      <w:pPr>
        <w:pStyle w:val="30"/>
        <w:keepNext w:val="0"/>
        <w:keepLines w:val="0"/>
        <w:widowControl w:val="0"/>
        <w:shd w:val="clear" w:color="auto" w:fill="auto"/>
        <w:bidi w:val="0"/>
        <w:spacing w:before="0" w:after="80"/>
        <w:ind w:left="0" w:right="0" w:firstLine="0"/>
        <w:jc w:val="left"/>
        <w:rPr>
          <w:color w:val="000000"/>
          <w:spacing w:val="0"/>
          <w:w w:val="100"/>
          <w:position w:val="0"/>
        </w:rPr>
        <w:sectPr>
          <w:footnotePr>
            <w:numFmt w:val="decimal"/>
          </w:footnotePr>
          <w:type w:val="continuous"/>
          <w:pgSz w:w="16840" w:h="11900" w:orient="landscape"/>
          <w:pgMar w:top="2112" w:right="1414" w:bottom="2056" w:left="1436" w:header="1684" w:footer="1628" w:gutter="0"/>
          <w:cols w:space="720" w:num="1"/>
          <w:rtlGutter w:val="0"/>
          <w:docGrid w:linePitch="360" w:charSpace="0"/>
        </w:sectPr>
      </w:pPr>
    </w:p>
    <w:p>
      <w:pPr>
        <w:pStyle w:val="14"/>
        <w:keepNext w:val="0"/>
        <w:keepLines w:val="0"/>
        <w:widowControl w:val="0"/>
        <w:shd w:val="clear" w:color="auto" w:fill="auto"/>
        <w:bidi w:val="0"/>
        <w:spacing w:before="0" w:after="0" w:line="626" w:lineRule="exact"/>
        <w:ind w:left="0" w:right="0" w:firstLine="640"/>
        <w:jc w:val="both"/>
        <w:rPr>
          <w:sz w:val="30"/>
          <w:szCs w:val="30"/>
        </w:rPr>
      </w:pPr>
      <w:r>
        <w:rPr>
          <w:color w:val="000000"/>
          <w:spacing w:val="0"/>
          <w:w w:val="100"/>
          <w:position w:val="0"/>
          <w:sz w:val="30"/>
          <w:szCs w:val="30"/>
        </w:rPr>
        <w:t>十一、其他重要事项说明</w:t>
      </w:r>
    </w:p>
    <w:p>
      <w:pPr>
        <w:pStyle w:val="14"/>
        <w:keepNext w:val="0"/>
        <w:keepLines w:val="0"/>
        <w:widowControl w:val="0"/>
        <w:shd w:val="clear" w:color="auto" w:fill="auto"/>
        <w:bidi w:val="0"/>
        <w:spacing w:before="0" w:after="0" w:line="626" w:lineRule="exact"/>
        <w:ind w:left="0" w:right="0" w:firstLine="800"/>
        <w:jc w:val="both"/>
        <w:rPr>
          <w:sz w:val="30"/>
          <w:szCs w:val="30"/>
        </w:rPr>
      </w:pPr>
      <w:r>
        <w:rPr>
          <w:color w:val="000000"/>
          <w:spacing w:val="0"/>
          <w:w w:val="100"/>
          <w:position w:val="0"/>
          <w:sz w:val="30"/>
          <w:szCs w:val="30"/>
          <w:lang w:val="en-US" w:eastAsia="en-US" w:bidi="en-US"/>
        </w:rPr>
        <w:t>（-）</w:t>
      </w:r>
      <w:r>
        <w:rPr>
          <w:color w:val="000000"/>
          <w:spacing w:val="0"/>
          <w:w w:val="100"/>
          <w:position w:val="0"/>
          <w:sz w:val="30"/>
          <w:szCs w:val="30"/>
        </w:rPr>
        <w:t>机关运行经费支出情况说明。</w:t>
      </w:r>
    </w:p>
    <w:p>
      <w:pPr>
        <w:pStyle w:val="4"/>
        <w:spacing w:line="560" w:lineRule="exact"/>
        <w:ind w:firstLine="640" w:firstLineChars="200"/>
        <w:rPr>
          <w:rFonts w:hint="eastAsia" w:ascii="仿宋_GB2312" w:eastAsia="仿宋_GB2312"/>
          <w:sz w:val="32"/>
          <w:szCs w:val="32"/>
        </w:rPr>
      </w:pPr>
      <w:bookmarkStart w:id="62" w:name="bookmark94"/>
      <w:r>
        <w:rPr>
          <w:rFonts w:hint="eastAsia" w:ascii="仿宋_GB2312" w:eastAsia="仿宋_GB2312"/>
          <w:sz w:val="32"/>
          <w:szCs w:val="32"/>
        </w:rPr>
        <w:t>2019年度本部门机关运行经费支出</w:t>
      </w:r>
      <w:r>
        <w:rPr>
          <w:rFonts w:hint="eastAsia" w:ascii="仿宋_GB2312" w:eastAsia="仿宋_GB2312"/>
          <w:sz w:val="32"/>
          <w:szCs w:val="32"/>
          <w:lang w:eastAsia="zh-CN"/>
        </w:rPr>
        <w:t>预算为</w:t>
      </w:r>
      <w:r>
        <w:rPr>
          <w:rFonts w:hint="eastAsia" w:ascii="仿宋_GB2312" w:eastAsia="仿宋_GB2312"/>
          <w:sz w:val="32"/>
          <w:szCs w:val="32"/>
          <w:lang w:val="en-US" w:eastAsia="zh-CN"/>
        </w:rPr>
        <w:t>92.16</w:t>
      </w:r>
      <w:r>
        <w:rPr>
          <w:rFonts w:hint="eastAsia" w:ascii="仿宋_GB2312" w:eastAsia="仿宋_GB2312"/>
          <w:sz w:val="32"/>
          <w:szCs w:val="32"/>
        </w:rPr>
        <w:t>万元，用于维持机关日常运转所必需的公用支出。支出决算为</w:t>
      </w:r>
      <w:r>
        <w:rPr>
          <w:rFonts w:hint="eastAsia" w:ascii="仿宋_GB2312" w:eastAsia="仿宋_GB2312"/>
          <w:sz w:val="32"/>
          <w:szCs w:val="32"/>
          <w:lang w:val="en-US" w:eastAsia="zh-CN"/>
        </w:rPr>
        <w:t>150.47</w:t>
      </w:r>
      <w:r>
        <w:rPr>
          <w:rFonts w:hint="eastAsia" w:ascii="仿宋_GB2312" w:eastAsia="仿宋_GB2312"/>
          <w:sz w:val="32"/>
          <w:szCs w:val="32"/>
        </w:rPr>
        <w:t>万元，完成预算的</w:t>
      </w:r>
      <w:r>
        <w:rPr>
          <w:rFonts w:hint="eastAsia" w:ascii="仿宋_GB2312" w:eastAsia="仿宋_GB2312"/>
          <w:sz w:val="32"/>
          <w:szCs w:val="32"/>
          <w:lang w:val="en-US" w:eastAsia="zh-CN"/>
        </w:rPr>
        <w:t>163.27</w:t>
      </w:r>
      <w:r>
        <w:rPr>
          <w:rFonts w:hint="eastAsia" w:ascii="仿宋_GB2312" w:eastAsia="仿宋_GB2312"/>
          <w:sz w:val="32"/>
          <w:szCs w:val="32"/>
        </w:rPr>
        <w:t>%。决算数较预算数增加</w:t>
      </w:r>
      <w:r>
        <w:rPr>
          <w:rFonts w:hint="eastAsia" w:ascii="仿宋_GB2312" w:eastAsia="仿宋_GB2312"/>
          <w:sz w:val="32"/>
          <w:szCs w:val="32"/>
          <w:lang w:val="en-US" w:eastAsia="zh-CN"/>
        </w:rPr>
        <w:t>58.31</w:t>
      </w:r>
      <w:r>
        <w:rPr>
          <w:rFonts w:hint="eastAsia" w:ascii="仿宋_GB2312" w:eastAsia="仿宋_GB2312"/>
          <w:sz w:val="32"/>
          <w:szCs w:val="32"/>
        </w:rPr>
        <w:t>万元，主要原因是</w:t>
      </w:r>
      <w:r>
        <w:rPr>
          <w:rFonts w:hint="eastAsia" w:ascii="仿宋_GB2312" w:eastAsia="仿宋_GB2312"/>
          <w:sz w:val="32"/>
          <w:szCs w:val="32"/>
          <w:lang w:eastAsia="zh-CN"/>
        </w:rPr>
        <w:t>纪检监察体制改革，公用经费增加</w:t>
      </w:r>
      <w:r>
        <w:rPr>
          <w:rFonts w:hint="eastAsia" w:ascii="仿宋_GB2312" w:eastAsia="仿宋_GB2312"/>
          <w:sz w:val="32"/>
          <w:szCs w:val="32"/>
        </w:rPr>
        <w:t>。</w:t>
      </w:r>
    </w:p>
    <w:p>
      <w:pPr>
        <w:pStyle w:val="4"/>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2019年度机关运行经费支出较上年增加</w:t>
      </w:r>
      <w:r>
        <w:rPr>
          <w:rFonts w:hint="eastAsia" w:ascii="仿宋_GB2312" w:eastAsia="仿宋_GB2312"/>
          <w:sz w:val="32"/>
          <w:szCs w:val="32"/>
          <w:lang w:val="en-US" w:eastAsia="zh-CN"/>
        </w:rPr>
        <w:t>32.81</w:t>
      </w:r>
      <w:r>
        <w:rPr>
          <w:rFonts w:hint="eastAsia" w:ascii="仿宋_GB2312" w:eastAsia="仿宋_GB2312"/>
          <w:sz w:val="32"/>
          <w:szCs w:val="32"/>
        </w:rPr>
        <w:t>万元，增长</w:t>
      </w:r>
      <w:r>
        <w:rPr>
          <w:rFonts w:hint="eastAsia" w:ascii="仿宋_GB2312" w:eastAsia="仿宋_GB2312"/>
          <w:sz w:val="32"/>
          <w:szCs w:val="32"/>
          <w:lang w:val="en-US" w:eastAsia="zh-CN"/>
        </w:rPr>
        <w:t>27.89</w:t>
      </w:r>
      <w:r>
        <w:rPr>
          <w:rFonts w:hint="eastAsia" w:ascii="仿宋_GB2312" w:eastAsia="仿宋_GB2312"/>
          <w:sz w:val="32"/>
          <w:szCs w:val="32"/>
        </w:rPr>
        <w:t>%，主要原因是</w:t>
      </w:r>
      <w:r>
        <w:rPr>
          <w:rFonts w:hint="eastAsia" w:ascii="仿宋_GB2312" w:eastAsia="仿宋_GB2312"/>
          <w:sz w:val="32"/>
          <w:szCs w:val="32"/>
          <w:lang w:eastAsia="zh-CN"/>
        </w:rPr>
        <w:t>纪检监察体制改革，公用经费增加</w:t>
      </w:r>
      <w:r>
        <w:rPr>
          <w:rFonts w:hint="eastAsia" w:ascii="仿宋_GB2312" w:eastAsia="仿宋_GB2312"/>
          <w:sz w:val="32"/>
          <w:szCs w:val="32"/>
        </w:rPr>
        <w:t>。</w:t>
      </w:r>
    </w:p>
    <w:p>
      <w:pPr>
        <w:pStyle w:val="14"/>
        <w:keepNext w:val="0"/>
        <w:keepLines w:val="0"/>
        <w:widowControl w:val="0"/>
        <w:shd w:val="clear" w:color="auto" w:fill="auto"/>
        <w:tabs>
          <w:tab w:val="left" w:pos="1655"/>
        </w:tabs>
        <w:bidi w:val="0"/>
        <w:spacing w:before="0" w:after="0" w:line="626" w:lineRule="exact"/>
        <w:ind w:left="0" w:right="0" w:firstLine="800"/>
        <w:jc w:val="both"/>
        <w:rPr>
          <w:sz w:val="30"/>
          <w:szCs w:val="30"/>
        </w:rPr>
      </w:pPr>
      <w:r>
        <w:rPr>
          <w:color w:val="000000"/>
          <w:spacing w:val="0"/>
          <w:w w:val="100"/>
          <w:position w:val="0"/>
          <w:sz w:val="30"/>
          <w:szCs w:val="30"/>
        </w:rPr>
        <w:t>（</w:t>
      </w:r>
      <w:bookmarkEnd w:id="62"/>
      <w:r>
        <w:rPr>
          <w:color w:val="000000"/>
          <w:spacing w:val="0"/>
          <w:w w:val="100"/>
          <w:position w:val="0"/>
          <w:sz w:val="30"/>
          <w:szCs w:val="30"/>
        </w:rPr>
        <w:t>二）</w:t>
      </w:r>
      <w:r>
        <w:rPr>
          <w:color w:val="000000"/>
          <w:spacing w:val="0"/>
          <w:w w:val="100"/>
          <w:position w:val="0"/>
          <w:sz w:val="30"/>
          <w:szCs w:val="30"/>
        </w:rPr>
        <w:tab/>
      </w:r>
      <w:r>
        <w:rPr>
          <w:color w:val="000000"/>
          <w:spacing w:val="0"/>
          <w:w w:val="100"/>
          <w:position w:val="0"/>
          <w:sz w:val="30"/>
          <w:szCs w:val="30"/>
        </w:rPr>
        <w:t>政府采购支出情况说明。</w:t>
      </w:r>
    </w:p>
    <w:p>
      <w:pPr>
        <w:adjustRightInd/>
        <w:snapToGrid/>
        <w:spacing w:after="0" w:line="560" w:lineRule="exact"/>
        <w:ind w:firstLine="645"/>
        <w:rPr>
          <w:rFonts w:hint="eastAsia" w:ascii="仿宋_GB2312" w:eastAsia="仿宋_GB2312" w:cs="宋体"/>
          <w:sz w:val="32"/>
          <w:szCs w:val="32"/>
        </w:rPr>
      </w:pPr>
      <w:r>
        <w:rPr>
          <w:rFonts w:hint="eastAsia" w:ascii="仿宋_GB2312" w:eastAsia="仿宋_GB2312" w:cs="宋体"/>
          <w:sz w:val="32"/>
          <w:szCs w:val="32"/>
        </w:rPr>
        <w:t>2019年度本部门政府采购支出总额</w:t>
      </w:r>
      <w:r>
        <w:rPr>
          <w:rFonts w:hint="eastAsia" w:ascii="仿宋_GB2312" w:eastAsia="仿宋_GB2312" w:cs="宋体"/>
          <w:sz w:val="32"/>
          <w:szCs w:val="32"/>
          <w:lang w:val="en-US" w:eastAsia="zh-CN"/>
        </w:rPr>
        <w:t>27.52</w:t>
      </w:r>
      <w:r>
        <w:rPr>
          <w:rFonts w:hint="eastAsia" w:ascii="仿宋_GB2312" w:eastAsia="仿宋_GB2312" w:cs="宋体"/>
          <w:sz w:val="32"/>
          <w:szCs w:val="32"/>
        </w:rPr>
        <w:t>万元，其中：政府采购货物类支出</w:t>
      </w:r>
      <w:r>
        <w:rPr>
          <w:rFonts w:hint="eastAsia" w:ascii="仿宋_GB2312" w:eastAsia="仿宋_GB2312" w:cs="宋体"/>
          <w:sz w:val="32"/>
          <w:szCs w:val="32"/>
          <w:lang w:val="en-US" w:eastAsia="zh-CN"/>
        </w:rPr>
        <w:t>27.52</w:t>
      </w:r>
      <w:r>
        <w:rPr>
          <w:rFonts w:hint="eastAsia" w:ascii="仿宋_GB2312" w:eastAsia="仿宋_GB2312" w:cs="宋体"/>
          <w:sz w:val="32"/>
          <w:szCs w:val="32"/>
        </w:rPr>
        <w:t>万元</w:t>
      </w:r>
      <w:r>
        <w:rPr>
          <w:rFonts w:hint="eastAsia" w:ascii="仿宋_GB2312" w:eastAsia="仿宋_GB2312" w:cs="宋体"/>
          <w:sz w:val="32"/>
          <w:szCs w:val="32"/>
          <w:highlight w:val="none"/>
        </w:rPr>
        <w:t>、政府采购服务类支出</w:t>
      </w:r>
      <w:r>
        <w:rPr>
          <w:rFonts w:hint="eastAsia" w:ascii="仿宋_GB2312" w:eastAsia="仿宋_GB2312" w:cs="宋体"/>
          <w:sz w:val="32"/>
          <w:szCs w:val="32"/>
          <w:highlight w:val="none"/>
          <w:lang w:val="en-US" w:eastAsia="zh-CN"/>
        </w:rPr>
        <w:t>0</w:t>
      </w:r>
      <w:r>
        <w:rPr>
          <w:rFonts w:hint="eastAsia" w:ascii="仿宋_GB2312" w:eastAsia="仿宋_GB2312" w:cs="宋体"/>
          <w:sz w:val="32"/>
          <w:szCs w:val="32"/>
          <w:highlight w:val="none"/>
        </w:rPr>
        <w:t>万元、政府采购工程类支出</w:t>
      </w:r>
      <w:r>
        <w:rPr>
          <w:rFonts w:hint="eastAsia" w:ascii="仿宋_GB2312" w:eastAsia="仿宋_GB2312" w:cs="宋体"/>
          <w:sz w:val="32"/>
          <w:szCs w:val="32"/>
          <w:highlight w:val="none"/>
          <w:lang w:val="en-US" w:eastAsia="zh-CN"/>
        </w:rPr>
        <w:t>0</w:t>
      </w:r>
      <w:r>
        <w:rPr>
          <w:rFonts w:hint="eastAsia" w:ascii="仿宋_GB2312" w:eastAsia="仿宋_GB2312" w:cs="宋体"/>
          <w:sz w:val="32"/>
          <w:szCs w:val="32"/>
          <w:highlight w:val="none"/>
        </w:rPr>
        <w:t>万元；授予中小企业合同金额</w:t>
      </w:r>
      <w:r>
        <w:rPr>
          <w:rFonts w:hint="eastAsia" w:ascii="仿宋_GB2312" w:eastAsia="仿宋_GB2312" w:cs="宋体"/>
          <w:sz w:val="32"/>
          <w:szCs w:val="32"/>
          <w:highlight w:val="none"/>
          <w:lang w:val="en-US" w:eastAsia="zh-CN"/>
        </w:rPr>
        <w:t>27.52</w:t>
      </w:r>
      <w:r>
        <w:rPr>
          <w:rFonts w:hint="eastAsia" w:ascii="仿宋_GB2312" w:eastAsia="仿宋_GB2312" w:cs="宋体"/>
          <w:sz w:val="32"/>
          <w:szCs w:val="32"/>
          <w:highlight w:val="none"/>
        </w:rPr>
        <w:t>万元，占政府采购支出总额的</w:t>
      </w:r>
      <w:r>
        <w:rPr>
          <w:rFonts w:hint="eastAsia" w:ascii="仿宋_GB2312" w:eastAsia="仿宋_GB2312" w:cs="宋体"/>
          <w:sz w:val="32"/>
          <w:szCs w:val="32"/>
          <w:highlight w:val="none"/>
          <w:lang w:val="en-US" w:eastAsia="zh-CN"/>
        </w:rPr>
        <w:t>100</w:t>
      </w:r>
      <w:r>
        <w:rPr>
          <w:rFonts w:hint="eastAsia" w:ascii="仿宋_GB2312" w:eastAsia="仿宋_GB2312" w:cs="宋体"/>
          <w:sz w:val="32"/>
          <w:szCs w:val="32"/>
          <w:highlight w:val="none"/>
        </w:rPr>
        <w:t>%，其中：授予小微企业合同金额</w:t>
      </w:r>
      <w:r>
        <w:rPr>
          <w:rFonts w:hint="eastAsia" w:ascii="仿宋_GB2312" w:eastAsia="仿宋_GB2312" w:cs="宋体"/>
          <w:sz w:val="32"/>
          <w:szCs w:val="32"/>
          <w:highlight w:val="none"/>
          <w:lang w:val="en-US" w:eastAsia="zh-CN"/>
        </w:rPr>
        <w:t>27.52</w:t>
      </w:r>
      <w:r>
        <w:rPr>
          <w:rFonts w:hint="eastAsia" w:ascii="仿宋_GB2312" w:eastAsia="仿宋_GB2312" w:cs="宋体"/>
          <w:sz w:val="32"/>
          <w:szCs w:val="32"/>
          <w:highlight w:val="none"/>
        </w:rPr>
        <w:t>万元，占政府采购支出总额的</w:t>
      </w:r>
      <w:r>
        <w:rPr>
          <w:rFonts w:hint="eastAsia" w:ascii="仿宋_GB2312" w:eastAsia="仿宋_GB2312" w:cs="宋体"/>
          <w:sz w:val="32"/>
          <w:szCs w:val="32"/>
          <w:highlight w:val="none"/>
          <w:lang w:val="en-US" w:eastAsia="zh-CN"/>
        </w:rPr>
        <w:t>100</w:t>
      </w:r>
      <w:r>
        <w:rPr>
          <w:rFonts w:hint="eastAsia" w:ascii="仿宋_GB2312" w:eastAsia="仿宋_GB2312" w:cs="宋体"/>
          <w:sz w:val="32"/>
          <w:szCs w:val="32"/>
          <w:highlight w:val="none"/>
        </w:rPr>
        <w:t>%。</w:t>
      </w:r>
    </w:p>
    <w:p>
      <w:pPr>
        <w:pStyle w:val="14"/>
        <w:keepNext w:val="0"/>
        <w:keepLines w:val="0"/>
        <w:widowControl w:val="0"/>
        <w:shd w:val="clear" w:color="auto" w:fill="auto"/>
        <w:bidi w:val="0"/>
        <w:spacing w:before="0" w:after="0" w:line="655" w:lineRule="exact"/>
        <w:ind w:left="0" w:right="0" w:firstLine="820"/>
        <w:jc w:val="both"/>
      </w:pPr>
      <w:r>
        <w:rPr>
          <w:color w:val="000000"/>
          <w:spacing w:val="0"/>
          <w:w w:val="100"/>
          <w:position w:val="0"/>
        </w:rPr>
        <w:t>（如不涉及，文字说明</w:t>
      </w:r>
      <w:r>
        <w:rPr>
          <w:color w:val="000000"/>
          <w:spacing w:val="0"/>
          <w:w w:val="100"/>
          <w:position w:val="0"/>
          <w:lang w:val="zh-CN" w:eastAsia="zh-CN" w:bidi="zh-CN"/>
        </w:rPr>
        <w:t>“本</w:t>
      </w:r>
      <w:r>
        <w:rPr>
          <w:color w:val="000000"/>
          <w:spacing w:val="0"/>
          <w:w w:val="100"/>
          <w:position w:val="0"/>
        </w:rPr>
        <w:t>部门</w:t>
      </w:r>
      <w:r>
        <w:rPr>
          <w:rFonts w:ascii="Times New Roman" w:hAnsi="Times New Roman" w:eastAsia="Times New Roman" w:cs="Times New Roman"/>
          <w:color w:val="000000"/>
          <w:spacing w:val="0"/>
          <w:w w:val="100"/>
          <w:position w:val="0"/>
          <w:sz w:val="30"/>
          <w:szCs w:val="30"/>
        </w:rPr>
        <w:t>2019</w:t>
      </w:r>
      <w:r>
        <w:rPr>
          <w:color w:val="000000"/>
          <w:spacing w:val="0"/>
          <w:w w:val="100"/>
          <w:position w:val="0"/>
        </w:rPr>
        <w:t>年度无政府采购 支出”）</w:t>
      </w:r>
    </w:p>
    <w:p>
      <w:pPr>
        <w:pStyle w:val="14"/>
        <w:keepNext w:val="0"/>
        <w:keepLines w:val="0"/>
        <w:widowControl w:val="0"/>
        <w:shd w:val="clear" w:color="auto" w:fill="auto"/>
        <w:tabs>
          <w:tab w:val="left" w:pos="1662"/>
        </w:tabs>
        <w:bidi w:val="0"/>
        <w:spacing w:before="0" w:after="0" w:line="628" w:lineRule="exact"/>
        <w:ind w:left="0" w:right="0" w:firstLine="800"/>
        <w:jc w:val="both"/>
        <w:rPr>
          <w:sz w:val="30"/>
          <w:szCs w:val="30"/>
        </w:rPr>
      </w:pPr>
      <w:bookmarkStart w:id="63" w:name="bookmark95"/>
      <w:r>
        <w:rPr>
          <w:color w:val="000000"/>
          <w:spacing w:val="0"/>
          <w:w w:val="100"/>
          <w:position w:val="0"/>
          <w:sz w:val="30"/>
          <w:szCs w:val="30"/>
        </w:rPr>
        <w:t>（</w:t>
      </w:r>
      <w:bookmarkEnd w:id="63"/>
      <w:r>
        <w:rPr>
          <w:color w:val="000000"/>
          <w:spacing w:val="0"/>
          <w:w w:val="100"/>
          <w:position w:val="0"/>
          <w:sz w:val="30"/>
          <w:szCs w:val="30"/>
        </w:rPr>
        <w:t>三）</w:t>
      </w:r>
      <w:r>
        <w:rPr>
          <w:color w:val="000000"/>
          <w:spacing w:val="0"/>
          <w:w w:val="100"/>
          <w:position w:val="0"/>
          <w:sz w:val="30"/>
          <w:szCs w:val="30"/>
        </w:rPr>
        <w:tab/>
      </w:r>
      <w:r>
        <w:rPr>
          <w:color w:val="000000"/>
          <w:spacing w:val="0"/>
          <w:w w:val="100"/>
          <w:position w:val="0"/>
          <w:sz w:val="30"/>
          <w:szCs w:val="30"/>
        </w:rPr>
        <w:t>国有资产占用及购置情况说明。</w:t>
      </w:r>
    </w:p>
    <w:p>
      <w:pPr>
        <w:keepNext w:val="0"/>
        <w:keepLines w:val="0"/>
        <w:pageBreakBefore w:val="0"/>
        <w:widowControl/>
        <w:kinsoku/>
        <w:wordWrap/>
        <w:overflowPunct/>
        <w:topLinePunct w:val="0"/>
        <w:autoSpaceDE/>
        <w:autoSpaceDN/>
        <w:bidi w:val="0"/>
        <w:adjustRightInd/>
        <w:snapToGrid/>
        <w:spacing w:after="0" w:line="560" w:lineRule="exact"/>
        <w:ind w:firstLine="645"/>
        <w:rPr>
          <w:rFonts w:hint="eastAsia" w:ascii="仿宋_GB2312" w:eastAsia="仿宋_GB2312" w:cs="宋体"/>
          <w:sz w:val="32"/>
          <w:szCs w:val="32"/>
        </w:rPr>
      </w:pPr>
      <w:bookmarkStart w:id="64" w:name="bookmark97"/>
      <w:bookmarkStart w:id="65" w:name="bookmark98"/>
      <w:bookmarkStart w:id="66" w:name="bookmark96"/>
      <w:r>
        <w:rPr>
          <w:rFonts w:hint="eastAsia" w:ascii="仿宋_GB2312" w:eastAsia="仿宋_GB2312" w:cs="宋体"/>
          <w:sz w:val="32"/>
          <w:szCs w:val="32"/>
        </w:rPr>
        <w:t>截至2019年末，本部门机关及所属单位</w:t>
      </w:r>
      <w:r>
        <w:rPr>
          <w:rFonts w:hint="eastAsia" w:ascii="仿宋_GB2312" w:eastAsia="仿宋_GB2312" w:cs="宋体"/>
          <w:sz w:val="32"/>
          <w:szCs w:val="32"/>
          <w:highlight w:val="none"/>
        </w:rPr>
        <w:t>共有车辆</w:t>
      </w:r>
      <w:r>
        <w:rPr>
          <w:rFonts w:hint="eastAsia" w:ascii="仿宋_GB2312" w:eastAsia="仿宋_GB2312" w:cs="宋体"/>
          <w:sz w:val="32"/>
          <w:szCs w:val="32"/>
          <w:highlight w:val="none"/>
          <w:lang w:val="en-US" w:eastAsia="zh-CN"/>
        </w:rPr>
        <w:t>3</w:t>
      </w:r>
      <w:r>
        <w:rPr>
          <w:rFonts w:hint="eastAsia" w:ascii="仿宋_GB2312" w:eastAsia="仿宋_GB2312" w:cs="宋体"/>
          <w:sz w:val="32"/>
          <w:szCs w:val="32"/>
          <w:highlight w:val="none"/>
        </w:rPr>
        <w:t>辆；</w:t>
      </w:r>
      <w:r>
        <w:rPr>
          <w:rFonts w:hint="eastAsia" w:ascii="仿宋_GB2312" w:eastAsia="仿宋_GB2312" w:cs="宋体"/>
          <w:sz w:val="32"/>
          <w:szCs w:val="32"/>
        </w:rPr>
        <w:t>单价50万元以上的通用设备</w:t>
      </w:r>
      <w:r>
        <w:rPr>
          <w:rFonts w:hint="eastAsia" w:ascii="仿宋_GB2312" w:eastAsia="仿宋_GB2312" w:cs="宋体"/>
          <w:sz w:val="32"/>
          <w:szCs w:val="32"/>
          <w:lang w:val="en-US" w:eastAsia="zh-CN"/>
        </w:rPr>
        <w:t>0</w:t>
      </w:r>
      <w:r>
        <w:rPr>
          <w:rFonts w:hint="eastAsia" w:ascii="仿宋_GB2312" w:eastAsia="仿宋_GB2312" w:cs="宋体"/>
          <w:sz w:val="32"/>
          <w:szCs w:val="32"/>
        </w:rPr>
        <w:t>台（套）；单价100万元以上的专用设备</w:t>
      </w:r>
      <w:r>
        <w:rPr>
          <w:rFonts w:hint="eastAsia" w:ascii="仿宋_GB2312" w:eastAsia="仿宋_GB2312" w:cs="宋体"/>
          <w:sz w:val="32"/>
          <w:szCs w:val="32"/>
          <w:lang w:val="en-US" w:eastAsia="zh-CN"/>
        </w:rPr>
        <w:t>0</w:t>
      </w:r>
      <w:r>
        <w:rPr>
          <w:rFonts w:hint="eastAsia" w:ascii="仿宋_GB2312" w:eastAsia="仿宋_GB2312" w:cs="宋体"/>
          <w:sz w:val="32"/>
          <w:szCs w:val="32"/>
        </w:rPr>
        <w:t>台（套）。2019年当年购置车辆</w:t>
      </w:r>
      <w:r>
        <w:rPr>
          <w:rFonts w:hint="eastAsia" w:ascii="仿宋_GB2312" w:eastAsia="仿宋_GB2312" w:cs="宋体"/>
          <w:sz w:val="32"/>
          <w:szCs w:val="32"/>
          <w:lang w:val="en-US" w:eastAsia="zh-CN"/>
        </w:rPr>
        <w:t>0</w:t>
      </w:r>
      <w:r>
        <w:rPr>
          <w:rFonts w:hint="eastAsia" w:ascii="仿宋_GB2312" w:eastAsia="仿宋_GB2312" w:cs="宋体"/>
          <w:sz w:val="32"/>
          <w:szCs w:val="32"/>
        </w:rPr>
        <w:t>辆；购置单价50万元以上的通用设备</w:t>
      </w:r>
      <w:r>
        <w:rPr>
          <w:rFonts w:hint="eastAsia" w:ascii="仿宋_GB2312" w:eastAsia="仿宋_GB2312" w:cs="宋体"/>
          <w:sz w:val="32"/>
          <w:szCs w:val="32"/>
          <w:lang w:val="en-US" w:eastAsia="zh-CN"/>
        </w:rPr>
        <w:t>0</w:t>
      </w:r>
      <w:r>
        <w:rPr>
          <w:rFonts w:hint="eastAsia" w:ascii="仿宋_GB2312" w:eastAsia="仿宋_GB2312" w:cs="宋体"/>
          <w:sz w:val="32"/>
          <w:szCs w:val="32"/>
        </w:rPr>
        <w:t>台（套）；购置单价100万元以上的专用设备</w:t>
      </w:r>
      <w:r>
        <w:rPr>
          <w:rFonts w:hint="eastAsia" w:ascii="仿宋_GB2312" w:eastAsia="仿宋_GB2312" w:cs="宋体"/>
          <w:sz w:val="32"/>
          <w:szCs w:val="32"/>
          <w:lang w:val="en-US" w:eastAsia="zh-CN"/>
        </w:rPr>
        <w:t>0</w:t>
      </w:r>
      <w:r>
        <w:rPr>
          <w:rFonts w:hint="eastAsia" w:ascii="仿宋_GB2312" w:eastAsia="仿宋_GB2312" w:cs="宋体"/>
          <w:sz w:val="32"/>
          <w:szCs w:val="32"/>
        </w:rPr>
        <w:t>台（套）。</w:t>
      </w:r>
    </w:p>
    <w:p>
      <w:pPr>
        <w:keepNext w:val="0"/>
        <w:keepLines w:val="0"/>
        <w:pageBreakBefore w:val="0"/>
        <w:widowControl/>
        <w:kinsoku/>
        <w:wordWrap/>
        <w:overflowPunct/>
        <w:topLinePunct w:val="0"/>
        <w:autoSpaceDE/>
        <w:autoSpaceDN/>
        <w:bidi w:val="0"/>
        <w:adjustRightInd/>
        <w:snapToGrid/>
        <w:spacing w:after="0" w:line="560" w:lineRule="exact"/>
        <w:ind w:firstLine="645"/>
        <w:rPr>
          <w:rFonts w:hint="eastAsia" w:ascii="仿宋_GB2312" w:eastAsia="仿宋_GB2312" w:cs="宋体"/>
          <w:sz w:val="32"/>
          <w:szCs w:val="32"/>
        </w:rPr>
      </w:pPr>
    </w:p>
    <w:p>
      <w:pPr>
        <w:keepNext w:val="0"/>
        <w:keepLines w:val="0"/>
        <w:pageBreakBefore w:val="0"/>
        <w:widowControl/>
        <w:kinsoku/>
        <w:wordWrap/>
        <w:overflowPunct/>
        <w:topLinePunct w:val="0"/>
        <w:autoSpaceDE/>
        <w:autoSpaceDN/>
        <w:bidi w:val="0"/>
        <w:adjustRightInd/>
        <w:snapToGrid/>
        <w:spacing w:after="0" w:line="560" w:lineRule="exact"/>
        <w:ind w:firstLine="645"/>
        <w:rPr>
          <w:rFonts w:hint="eastAsia" w:ascii="仿宋_GB2312" w:eastAsia="仿宋_GB2312" w:cs="宋体"/>
          <w:sz w:val="32"/>
          <w:szCs w:val="32"/>
        </w:rPr>
      </w:pPr>
    </w:p>
    <w:p>
      <w:pPr>
        <w:keepNext w:val="0"/>
        <w:keepLines w:val="0"/>
        <w:pageBreakBefore w:val="0"/>
        <w:widowControl/>
        <w:kinsoku/>
        <w:wordWrap/>
        <w:overflowPunct/>
        <w:topLinePunct w:val="0"/>
        <w:autoSpaceDE/>
        <w:autoSpaceDN/>
        <w:bidi w:val="0"/>
        <w:adjustRightInd/>
        <w:snapToGrid/>
        <w:spacing w:after="0" w:line="560" w:lineRule="exact"/>
        <w:ind w:firstLine="645"/>
        <w:rPr>
          <w:rFonts w:hint="eastAsia" w:ascii="仿宋_GB2312" w:eastAsia="仿宋_GB2312" w:cs="宋体"/>
          <w:sz w:val="32"/>
          <w:szCs w:val="32"/>
        </w:rPr>
      </w:pPr>
    </w:p>
    <w:p>
      <w:pPr>
        <w:pStyle w:val="12"/>
        <w:keepNext/>
        <w:keepLines/>
        <w:widowControl w:val="0"/>
        <w:shd w:val="clear" w:color="auto" w:fill="auto"/>
        <w:bidi w:val="0"/>
        <w:spacing w:before="240" w:after="540" w:line="240" w:lineRule="auto"/>
        <w:ind w:left="0" w:right="0" w:firstLine="0"/>
        <w:jc w:val="center"/>
      </w:pPr>
      <w:r>
        <w:rPr>
          <w:color w:val="000000"/>
          <w:spacing w:val="0"/>
          <w:w w:val="100"/>
          <w:position w:val="0"/>
        </w:rPr>
        <w:t>第四部分专业名词解释</w:t>
      </w:r>
      <w:bookmarkEnd w:id="64"/>
      <w:bookmarkEnd w:id="65"/>
      <w:bookmarkEnd w:id="66"/>
    </w:p>
    <w:p>
      <w:pPr>
        <w:pStyle w:val="4"/>
        <w:spacing w:line="560" w:lineRule="exact"/>
        <w:ind w:firstLine="640" w:firstLineChars="200"/>
        <w:rPr>
          <w:rFonts w:hint="eastAsia" w:ascii="仿宋_GB2312" w:eastAsia="仿宋_GB2312"/>
          <w:sz w:val="32"/>
          <w:szCs w:val="32"/>
        </w:rPr>
      </w:pPr>
      <w:bookmarkStart w:id="67" w:name="bookmark104"/>
      <w:bookmarkStart w:id="68" w:name="bookmark105"/>
      <w:bookmarkStart w:id="69" w:name="bookmark103"/>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基本支出：包括人员经费和日常公用经费两部分。其中：人员经费包括基本工资、补助工资、其他工资、职工福利费和社会保障费等；公用经费包括公务费、小型设备购置费和修缮费、业务费和业务招待费等。</w:t>
      </w:r>
    </w:p>
    <w:p>
      <w:pPr>
        <w:pStyle w:val="4"/>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项目支出：项目支出是除基本预算支出以外财政预算专项专款安排的支出。包括基本建设、有关事业发展专项计划、专项业务费、大型修缮、大型购置、大型会议等项目支出。</w:t>
      </w:r>
    </w:p>
    <w:p>
      <w:pPr>
        <w:pStyle w:val="4"/>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三公经费：指财政拨款支出安排的出国（境）费、车辆购置及运行费、公务接待费这三项经费。</w:t>
      </w:r>
    </w:p>
    <w:p>
      <w:pPr>
        <w:pStyle w:val="4"/>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机关运行经费：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4"/>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财政拨款收入：指本级财政当年拨付的资金。</w:t>
      </w: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p>
      <w:pPr>
        <w:pStyle w:val="12"/>
        <w:keepNext/>
        <w:keepLines/>
        <w:widowControl w:val="0"/>
        <w:shd w:val="clear" w:color="auto" w:fill="auto"/>
        <w:bidi w:val="0"/>
        <w:spacing w:before="0" w:after="0" w:line="240" w:lineRule="auto"/>
        <w:ind w:left="0" w:right="0" w:firstLine="0"/>
        <w:jc w:val="center"/>
        <w:rPr>
          <w:rFonts w:ascii="Times New Roman" w:hAnsi="Times New Roman" w:eastAsia="Times New Roman" w:cs="Times New Roman"/>
          <w:color w:val="000000"/>
          <w:spacing w:val="0"/>
          <w:w w:val="100"/>
          <w:position w:val="0"/>
          <w:sz w:val="48"/>
          <w:szCs w:val="48"/>
          <w:lang w:val="zh-CN" w:eastAsia="zh-CN" w:bidi="zh-CN"/>
        </w:rPr>
      </w:pPr>
    </w:p>
    <w:bookmarkEnd w:id="67"/>
    <w:bookmarkEnd w:id="68"/>
    <w:bookmarkEnd w:id="69"/>
    <w:p/>
    <w:sectPr>
      <w:headerReference r:id="rId5" w:type="default"/>
      <w:footerReference r:id="rId7" w:type="default"/>
      <w:headerReference r:id="rId6" w:type="even"/>
      <w:footerReference r:id="rId8" w:type="even"/>
      <w:footnotePr>
        <w:numFmt w:val="decimal"/>
      </w:footnotePr>
      <w:pgSz w:w="11900" w:h="16840"/>
      <w:pgMar w:top="1263" w:right="1062" w:bottom="870" w:left="931" w:header="835" w:footer="442" w:gutter="0"/>
      <w:pgBorders>
        <w:top w:val="none" w:sz="0" w:space="0"/>
        <w:left w:val="none" w:sz="0" w:space="0"/>
        <w:bottom w:val="none" w:sz="0" w:space="0"/>
        <w:right w:val="none" w:sz="0" w:space="0"/>
      </w:pgBorders>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_GB2312">
    <w:altName w:val="MS Mincho"/>
    <w:panose1 w:val="00000000000000000000"/>
    <w:charset w:val="00"/>
    <w:family w:val="auto"/>
    <w:pitch w:val="default"/>
    <w:sig w:usb0="00000000" w:usb1="00000000" w:usb2="00000000" w:usb3="00000000" w:csb0="00040001"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640482"/>
    <w:multiLevelType w:val="singleLevel"/>
    <w:tmpl w:val="0E640482"/>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abstractNum w:abstractNumId="1">
    <w:nsid w:val="46A08BB8"/>
    <w:multiLevelType w:val="singleLevel"/>
    <w:tmpl w:val="46A08BB8"/>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abstractNum w:abstractNumId="2">
    <w:nsid w:val="60382F6E"/>
    <w:multiLevelType w:val="singleLevel"/>
    <w:tmpl w:val="60382F6E"/>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evenAndOddHeaders w:val="1"/>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
  <w:rsids>
    <w:rsidRoot w:val="00000000"/>
    <w:rsid w:val="08AD00BA"/>
    <w:rsid w:val="0D9370C8"/>
    <w:rsid w:val="1192457A"/>
    <w:rsid w:val="13610940"/>
    <w:rsid w:val="15377890"/>
    <w:rsid w:val="19123574"/>
    <w:rsid w:val="1E195DB8"/>
    <w:rsid w:val="1F052382"/>
    <w:rsid w:val="1F34646E"/>
    <w:rsid w:val="20502AC7"/>
    <w:rsid w:val="24AF5E0D"/>
    <w:rsid w:val="28730E42"/>
    <w:rsid w:val="2BF24543"/>
    <w:rsid w:val="2C8C3A69"/>
    <w:rsid w:val="3A9D7222"/>
    <w:rsid w:val="3E7F163D"/>
    <w:rsid w:val="3EB232E7"/>
    <w:rsid w:val="47F40EB8"/>
    <w:rsid w:val="52B42B7E"/>
    <w:rsid w:val="53CA0198"/>
    <w:rsid w:val="57BE5374"/>
    <w:rsid w:val="5D7A4433"/>
    <w:rsid w:val="60986E6D"/>
    <w:rsid w:val="61EA0A91"/>
    <w:rsid w:val="6FD24742"/>
    <w:rsid w:val="759C43C1"/>
    <w:rsid w:val="7ADD7A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header"/>
    <w:basedOn w:val="1"/>
    <w:qFormat/>
    <w:uiPriority w:val="0"/>
    <w:pPr>
      <w:pBdr>
        <w:bottom w:val="single" w:color="auto" w:sz="6" w:space="1"/>
      </w:pBdr>
      <w:tabs>
        <w:tab w:val="center" w:pos="4153"/>
        <w:tab w:val="right" w:pos="8307"/>
      </w:tabs>
      <w:snapToGrid w:val="0"/>
      <w:jc w:val="center"/>
    </w:pPr>
    <w:rPr>
      <w:sz w:val="18"/>
    </w:rPr>
  </w:style>
  <w:style w:type="paragraph" w:styleId="4">
    <w:name w:val="Normal (Web)"/>
    <w:next w:val="3"/>
    <w:uiPriority w:val="0"/>
    <w:rPr>
      <w:rFonts w:ascii="宋体" w:hAnsi="Times New Roman" w:eastAsia="宋体" w:cs="宋体"/>
      <w:sz w:val="24"/>
      <w:szCs w:val="24"/>
      <w:lang w:val="en-US" w:eastAsia="zh-CN" w:bidi="ar-SA"/>
    </w:rPr>
  </w:style>
  <w:style w:type="character" w:customStyle="1" w:styleId="7">
    <w:name w:val="Heading #1|1_"/>
    <w:basedOn w:val="6"/>
    <w:link w:val="8"/>
    <w:qFormat/>
    <w:uiPriority w:val="0"/>
    <w:rPr>
      <w:rFonts w:ascii="宋体" w:hAnsi="宋体" w:eastAsia="宋体" w:cs="宋体"/>
      <w:color w:val="FBA36D"/>
      <w:sz w:val="90"/>
      <w:szCs w:val="90"/>
      <w:u w:val="none"/>
      <w:shd w:val="clear" w:color="auto" w:fill="auto"/>
      <w:lang w:val="zh-TW" w:eastAsia="zh-TW" w:bidi="zh-TW"/>
    </w:rPr>
  </w:style>
  <w:style w:type="paragraph" w:customStyle="1" w:styleId="8">
    <w:name w:val="Heading #1|1"/>
    <w:basedOn w:val="1"/>
    <w:link w:val="7"/>
    <w:uiPriority w:val="0"/>
    <w:pPr>
      <w:widowControl w:val="0"/>
      <w:shd w:val="clear" w:color="auto" w:fill="auto"/>
      <w:spacing w:after="760"/>
      <w:jc w:val="center"/>
      <w:outlineLvl w:val="0"/>
    </w:pPr>
    <w:rPr>
      <w:rFonts w:ascii="宋体" w:hAnsi="宋体" w:eastAsia="宋体" w:cs="宋体"/>
      <w:color w:val="FBA36D"/>
      <w:sz w:val="90"/>
      <w:szCs w:val="90"/>
      <w:u w:val="none"/>
      <w:shd w:val="clear" w:color="auto" w:fill="auto"/>
      <w:lang w:val="zh-TW" w:eastAsia="zh-TW" w:bidi="zh-TW"/>
    </w:rPr>
  </w:style>
  <w:style w:type="character" w:customStyle="1" w:styleId="9">
    <w:name w:val="Body text|5_"/>
    <w:basedOn w:val="6"/>
    <w:link w:val="10"/>
    <w:qFormat/>
    <w:uiPriority w:val="0"/>
    <w:rPr>
      <w:sz w:val="30"/>
      <w:szCs w:val="30"/>
      <w:u w:val="none"/>
      <w:shd w:val="clear" w:color="auto" w:fill="auto"/>
      <w:lang w:val="zh-TW" w:eastAsia="zh-TW" w:bidi="zh-TW"/>
    </w:rPr>
  </w:style>
  <w:style w:type="paragraph" w:customStyle="1" w:styleId="10">
    <w:name w:val="Body text|5"/>
    <w:basedOn w:val="1"/>
    <w:link w:val="9"/>
    <w:uiPriority w:val="0"/>
    <w:pPr>
      <w:widowControl w:val="0"/>
      <w:shd w:val="clear" w:color="auto" w:fill="auto"/>
      <w:spacing w:after="1240"/>
      <w:jc w:val="right"/>
    </w:pPr>
    <w:rPr>
      <w:sz w:val="30"/>
      <w:szCs w:val="30"/>
      <w:u w:val="none"/>
      <w:shd w:val="clear" w:color="auto" w:fill="auto"/>
      <w:lang w:val="zh-TW" w:eastAsia="zh-TW" w:bidi="zh-TW"/>
    </w:rPr>
  </w:style>
  <w:style w:type="character" w:customStyle="1" w:styleId="11">
    <w:name w:val="Heading #2|1_"/>
    <w:basedOn w:val="6"/>
    <w:link w:val="12"/>
    <w:qFormat/>
    <w:uiPriority w:val="0"/>
    <w:rPr>
      <w:rFonts w:ascii="宋体" w:hAnsi="宋体" w:eastAsia="宋体" w:cs="宋体"/>
      <w:sz w:val="46"/>
      <w:szCs w:val="46"/>
      <w:u w:val="none"/>
      <w:shd w:val="clear" w:color="auto" w:fill="auto"/>
      <w:lang w:val="zh-TW" w:eastAsia="zh-TW" w:bidi="zh-TW"/>
    </w:rPr>
  </w:style>
  <w:style w:type="paragraph" w:customStyle="1" w:styleId="12">
    <w:name w:val="Heading #2|1"/>
    <w:basedOn w:val="1"/>
    <w:link w:val="11"/>
    <w:uiPriority w:val="0"/>
    <w:pPr>
      <w:widowControl w:val="0"/>
      <w:shd w:val="clear" w:color="auto" w:fill="auto"/>
      <w:spacing w:after="390"/>
      <w:jc w:val="center"/>
      <w:outlineLvl w:val="1"/>
    </w:pPr>
    <w:rPr>
      <w:rFonts w:ascii="宋体" w:hAnsi="宋体" w:eastAsia="宋体" w:cs="宋体"/>
      <w:sz w:val="46"/>
      <w:szCs w:val="46"/>
      <w:u w:val="none"/>
      <w:shd w:val="clear" w:color="auto" w:fill="auto"/>
      <w:lang w:val="zh-TW" w:eastAsia="zh-TW" w:bidi="zh-TW"/>
    </w:rPr>
  </w:style>
  <w:style w:type="character" w:customStyle="1" w:styleId="13">
    <w:name w:val="Body text|1_"/>
    <w:basedOn w:val="6"/>
    <w:link w:val="14"/>
    <w:qFormat/>
    <w:uiPriority w:val="0"/>
    <w:rPr>
      <w:rFonts w:ascii="宋体" w:hAnsi="宋体" w:eastAsia="宋体" w:cs="宋体"/>
      <w:sz w:val="28"/>
      <w:szCs w:val="28"/>
      <w:u w:val="none"/>
      <w:shd w:val="clear" w:color="auto" w:fill="auto"/>
      <w:lang w:val="zh-TW" w:eastAsia="zh-TW" w:bidi="zh-TW"/>
    </w:rPr>
  </w:style>
  <w:style w:type="paragraph" w:customStyle="1" w:styleId="14">
    <w:name w:val="Body text|1"/>
    <w:basedOn w:val="1"/>
    <w:link w:val="13"/>
    <w:qFormat/>
    <w:uiPriority w:val="0"/>
    <w:pPr>
      <w:widowControl w:val="0"/>
      <w:shd w:val="clear" w:color="auto" w:fill="auto"/>
      <w:spacing w:line="434" w:lineRule="auto"/>
      <w:ind w:firstLine="400"/>
    </w:pPr>
    <w:rPr>
      <w:rFonts w:ascii="宋体" w:hAnsi="宋体" w:eastAsia="宋体" w:cs="宋体"/>
      <w:sz w:val="28"/>
      <w:szCs w:val="28"/>
      <w:u w:val="none"/>
      <w:shd w:val="clear" w:color="auto" w:fill="auto"/>
      <w:lang w:val="zh-TW" w:eastAsia="zh-TW" w:bidi="zh-TW"/>
    </w:rPr>
  </w:style>
  <w:style w:type="character" w:customStyle="1" w:styleId="15">
    <w:name w:val="Header or footer|2_"/>
    <w:basedOn w:val="6"/>
    <w:link w:val="16"/>
    <w:uiPriority w:val="0"/>
    <w:rPr>
      <w:sz w:val="20"/>
      <w:szCs w:val="20"/>
      <w:u w:val="none"/>
      <w:shd w:val="clear" w:color="auto" w:fill="auto"/>
    </w:rPr>
  </w:style>
  <w:style w:type="paragraph" w:customStyle="1" w:styleId="16">
    <w:name w:val="Header or footer|2"/>
    <w:basedOn w:val="1"/>
    <w:link w:val="15"/>
    <w:qFormat/>
    <w:uiPriority w:val="0"/>
    <w:pPr>
      <w:widowControl w:val="0"/>
      <w:shd w:val="clear" w:color="auto" w:fill="auto"/>
    </w:pPr>
    <w:rPr>
      <w:sz w:val="20"/>
      <w:szCs w:val="20"/>
      <w:u w:val="none"/>
      <w:shd w:val="clear" w:color="auto" w:fill="auto"/>
    </w:rPr>
  </w:style>
  <w:style w:type="character" w:customStyle="1" w:styleId="17">
    <w:name w:val="Body text|4_"/>
    <w:basedOn w:val="6"/>
    <w:link w:val="18"/>
    <w:uiPriority w:val="0"/>
    <w:rPr>
      <w:rFonts w:ascii="宋体" w:hAnsi="宋体" w:eastAsia="宋体" w:cs="宋体"/>
      <w:sz w:val="46"/>
      <w:szCs w:val="46"/>
      <w:u w:val="none"/>
      <w:shd w:val="clear" w:color="auto" w:fill="auto"/>
      <w:lang w:val="zh-TW" w:eastAsia="zh-TW" w:bidi="zh-TW"/>
    </w:rPr>
  </w:style>
  <w:style w:type="paragraph" w:customStyle="1" w:styleId="18">
    <w:name w:val="Body text|4"/>
    <w:basedOn w:val="1"/>
    <w:link w:val="17"/>
    <w:qFormat/>
    <w:uiPriority w:val="0"/>
    <w:pPr>
      <w:widowControl w:val="0"/>
      <w:shd w:val="clear" w:color="auto" w:fill="auto"/>
      <w:jc w:val="center"/>
    </w:pPr>
    <w:rPr>
      <w:rFonts w:ascii="宋体" w:hAnsi="宋体" w:eastAsia="宋体" w:cs="宋体"/>
      <w:sz w:val="46"/>
      <w:szCs w:val="46"/>
      <w:u w:val="none"/>
      <w:shd w:val="clear" w:color="auto" w:fill="auto"/>
      <w:lang w:val="zh-TW" w:eastAsia="zh-TW" w:bidi="zh-TW"/>
    </w:rPr>
  </w:style>
  <w:style w:type="character" w:customStyle="1" w:styleId="19">
    <w:name w:val="Table caption|1_"/>
    <w:basedOn w:val="6"/>
    <w:link w:val="20"/>
    <w:uiPriority w:val="0"/>
    <w:rPr>
      <w:rFonts w:ascii="宋体" w:hAnsi="宋体" w:eastAsia="宋体" w:cs="宋体"/>
      <w:sz w:val="28"/>
      <w:szCs w:val="28"/>
      <w:u w:val="none"/>
      <w:shd w:val="clear" w:color="auto" w:fill="auto"/>
      <w:lang w:val="zh-TW" w:eastAsia="zh-TW" w:bidi="zh-TW"/>
    </w:rPr>
  </w:style>
  <w:style w:type="paragraph" w:customStyle="1" w:styleId="20">
    <w:name w:val="Table caption|1"/>
    <w:basedOn w:val="1"/>
    <w:link w:val="19"/>
    <w:qFormat/>
    <w:uiPriority w:val="0"/>
    <w:pPr>
      <w:widowControl w:val="0"/>
      <w:shd w:val="clear" w:color="auto" w:fill="auto"/>
      <w:spacing w:line="655" w:lineRule="exact"/>
      <w:ind w:firstLine="640"/>
    </w:pPr>
    <w:rPr>
      <w:rFonts w:ascii="宋体" w:hAnsi="宋体" w:eastAsia="宋体" w:cs="宋体"/>
      <w:sz w:val="28"/>
      <w:szCs w:val="28"/>
      <w:u w:val="none"/>
      <w:shd w:val="clear" w:color="auto" w:fill="auto"/>
      <w:lang w:val="zh-TW" w:eastAsia="zh-TW" w:bidi="zh-TW"/>
    </w:rPr>
  </w:style>
  <w:style w:type="character" w:customStyle="1" w:styleId="21">
    <w:name w:val="Other|1_"/>
    <w:basedOn w:val="6"/>
    <w:link w:val="22"/>
    <w:uiPriority w:val="0"/>
    <w:rPr>
      <w:rFonts w:ascii="宋体" w:hAnsi="宋体" w:eastAsia="宋体" w:cs="宋体"/>
      <w:sz w:val="28"/>
      <w:szCs w:val="28"/>
      <w:u w:val="none"/>
      <w:shd w:val="clear" w:color="auto" w:fill="auto"/>
      <w:lang w:val="zh-TW" w:eastAsia="zh-TW" w:bidi="zh-TW"/>
    </w:rPr>
  </w:style>
  <w:style w:type="paragraph" w:customStyle="1" w:styleId="22">
    <w:name w:val="Other|1"/>
    <w:basedOn w:val="1"/>
    <w:link w:val="21"/>
    <w:uiPriority w:val="0"/>
    <w:pPr>
      <w:widowControl w:val="0"/>
      <w:shd w:val="clear" w:color="auto" w:fill="auto"/>
      <w:spacing w:line="434" w:lineRule="auto"/>
      <w:ind w:firstLine="400"/>
    </w:pPr>
    <w:rPr>
      <w:rFonts w:ascii="宋体" w:hAnsi="宋体" w:eastAsia="宋体" w:cs="宋体"/>
      <w:sz w:val="28"/>
      <w:szCs w:val="28"/>
      <w:u w:val="none"/>
      <w:shd w:val="clear" w:color="auto" w:fill="auto"/>
      <w:lang w:val="zh-TW" w:eastAsia="zh-TW" w:bidi="zh-TW"/>
    </w:rPr>
  </w:style>
  <w:style w:type="character" w:customStyle="1" w:styleId="23">
    <w:name w:val="Body text|3_"/>
    <w:basedOn w:val="6"/>
    <w:link w:val="24"/>
    <w:qFormat/>
    <w:uiPriority w:val="0"/>
    <w:rPr>
      <w:rFonts w:ascii="宋体" w:hAnsi="宋体" w:eastAsia="宋体" w:cs="宋体"/>
      <w:sz w:val="20"/>
      <w:szCs w:val="20"/>
      <w:u w:val="none"/>
      <w:shd w:val="clear" w:color="auto" w:fill="auto"/>
      <w:lang w:val="zh-TW" w:eastAsia="zh-TW" w:bidi="zh-TW"/>
    </w:rPr>
  </w:style>
  <w:style w:type="paragraph" w:customStyle="1" w:styleId="24">
    <w:name w:val="Body text|3"/>
    <w:basedOn w:val="1"/>
    <w:link w:val="23"/>
    <w:uiPriority w:val="0"/>
    <w:pPr>
      <w:widowControl w:val="0"/>
      <w:shd w:val="clear" w:color="auto" w:fill="auto"/>
      <w:spacing w:after="200" w:line="310" w:lineRule="exact"/>
      <w:ind w:left="200" w:hanging="200"/>
    </w:pPr>
    <w:rPr>
      <w:rFonts w:ascii="宋体" w:hAnsi="宋体" w:eastAsia="宋体" w:cs="宋体"/>
      <w:sz w:val="20"/>
      <w:szCs w:val="20"/>
      <w:u w:val="none"/>
      <w:shd w:val="clear" w:color="auto" w:fill="auto"/>
      <w:lang w:val="zh-TW" w:eastAsia="zh-TW" w:bidi="zh-TW"/>
    </w:rPr>
  </w:style>
  <w:style w:type="character" w:customStyle="1" w:styleId="25">
    <w:name w:val="Header or footer|1_"/>
    <w:basedOn w:val="6"/>
    <w:link w:val="26"/>
    <w:qFormat/>
    <w:uiPriority w:val="0"/>
    <w:rPr>
      <w:sz w:val="28"/>
      <w:szCs w:val="28"/>
      <w:u w:val="none"/>
      <w:shd w:val="clear" w:color="auto" w:fill="auto"/>
      <w:lang w:val="zh-TW" w:eastAsia="zh-TW" w:bidi="zh-TW"/>
    </w:rPr>
  </w:style>
  <w:style w:type="paragraph" w:customStyle="1" w:styleId="26">
    <w:name w:val="Header or footer|1"/>
    <w:basedOn w:val="1"/>
    <w:link w:val="25"/>
    <w:uiPriority w:val="0"/>
    <w:pPr>
      <w:widowControl w:val="0"/>
      <w:shd w:val="clear" w:color="auto" w:fill="auto"/>
    </w:pPr>
    <w:rPr>
      <w:sz w:val="28"/>
      <w:szCs w:val="28"/>
      <w:u w:val="none"/>
      <w:shd w:val="clear" w:color="auto" w:fill="auto"/>
      <w:lang w:val="zh-TW" w:eastAsia="zh-TW" w:bidi="zh-TW"/>
    </w:rPr>
  </w:style>
  <w:style w:type="character" w:customStyle="1" w:styleId="27">
    <w:name w:val="Other|2_"/>
    <w:basedOn w:val="6"/>
    <w:link w:val="28"/>
    <w:qFormat/>
    <w:uiPriority w:val="0"/>
    <w:rPr>
      <w:rFonts w:ascii="宋体" w:hAnsi="宋体" w:eastAsia="宋体" w:cs="宋体"/>
      <w:sz w:val="16"/>
      <w:szCs w:val="16"/>
      <w:u w:val="none"/>
      <w:shd w:val="clear" w:color="auto" w:fill="auto"/>
      <w:lang w:val="zh-TW" w:eastAsia="zh-TW" w:bidi="zh-TW"/>
    </w:rPr>
  </w:style>
  <w:style w:type="paragraph" w:customStyle="1" w:styleId="28">
    <w:name w:val="Other|2"/>
    <w:basedOn w:val="1"/>
    <w:link w:val="27"/>
    <w:uiPriority w:val="0"/>
    <w:pPr>
      <w:widowControl w:val="0"/>
      <w:shd w:val="clear" w:color="auto" w:fill="auto"/>
      <w:spacing w:line="194" w:lineRule="exact"/>
      <w:jc w:val="center"/>
    </w:pPr>
    <w:rPr>
      <w:rFonts w:ascii="宋体" w:hAnsi="宋体" w:eastAsia="宋体" w:cs="宋体"/>
      <w:sz w:val="16"/>
      <w:szCs w:val="16"/>
      <w:u w:val="none"/>
      <w:shd w:val="clear" w:color="auto" w:fill="auto"/>
      <w:lang w:val="zh-TW" w:eastAsia="zh-TW" w:bidi="zh-TW"/>
    </w:rPr>
  </w:style>
  <w:style w:type="character" w:customStyle="1" w:styleId="29">
    <w:name w:val="Body text|2_"/>
    <w:basedOn w:val="6"/>
    <w:link w:val="30"/>
    <w:qFormat/>
    <w:uiPriority w:val="0"/>
    <w:rPr>
      <w:rFonts w:ascii="宋体" w:hAnsi="宋体" w:eastAsia="宋体" w:cs="宋体"/>
      <w:sz w:val="16"/>
      <w:szCs w:val="16"/>
      <w:u w:val="none"/>
      <w:shd w:val="clear" w:color="auto" w:fill="auto"/>
      <w:lang w:val="zh-TW" w:eastAsia="zh-TW" w:bidi="zh-TW"/>
    </w:rPr>
  </w:style>
  <w:style w:type="paragraph" w:customStyle="1" w:styleId="30">
    <w:name w:val="Body text|2"/>
    <w:basedOn w:val="1"/>
    <w:link w:val="29"/>
    <w:qFormat/>
    <w:uiPriority w:val="0"/>
    <w:pPr>
      <w:widowControl w:val="0"/>
      <w:shd w:val="clear" w:color="auto" w:fill="auto"/>
      <w:spacing w:after="60" w:line="187" w:lineRule="exact"/>
      <w:ind w:left="80" w:firstLine="250"/>
    </w:pPr>
    <w:rPr>
      <w:rFonts w:ascii="宋体" w:hAnsi="宋体" w:eastAsia="宋体" w:cs="宋体"/>
      <w:sz w:val="16"/>
      <w:szCs w:val="16"/>
      <w:u w:val="none"/>
      <w:shd w:val="clear" w:color="auto" w:fill="auto"/>
      <w:lang w:val="zh-TW" w:eastAsia="zh-TW" w:bidi="zh-TW"/>
    </w:rPr>
  </w:style>
  <w:style w:type="character" w:customStyle="1" w:styleId="31">
    <w:name w:val="font51"/>
    <w:basedOn w:val="6"/>
    <w:uiPriority w:val="0"/>
    <w:rPr>
      <w:rFonts w:hint="eastAsia" w:ascii="宋体" w:hAnsi="宋体" w:eastAsia="宋体" w:cs="宋体"/>
      <w:color w:val="000000"/>
      <w:sz w:val="22"/>
      <w:szCs w:val="22"/>
      <w:u w:val="none"/>
    </w:rPr>
  </w:style>
  <w:style w:type="character" w:customStyle="1" w:styleId="32">
    <w:name w:val="font61"/>
    <w:basedOn w:val="6"/>
    <w:uiPriority w:val="0"/>
    <w:rPr>
      <w:rFonts w:hint="default" w:ascii="Arial" w:hAnsi="Arial" w:cs="Arial"/>
      <w:b/>
      <w:bCs/>
      <w:color w:val="000000"/>
      <w:sz w:val="24"/>
      <w:szCs w:val="24"/>
      <w:u w:val="none"/>
    </w:rPr>
  </w:style>
  <w:style w:type="character" w:customStyle="1" w:styleId="33">
    <w:name w:val="font41"/>
    <w:basedOn w:val="6"/>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6.emf"/><Relationship Id="rId21" Type="http://schemas.openxmlformats.org/officeDocument/2006/relationships/oleObject" Target="embeddings/oleObject7.bin"/><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5.emf"/><Relationship Id="rId18" Type="http://schemas.openxmlformats.org/officeDocument/2006/relationships/oleObject" Target="embeddings/oleObject5.bin"/><Relationship Id="rId17" Type="http://schemas.openxmlformats.org/officeDocument/2006/relationships/image" Target="media/image4.emf"/><Relationship Id="rId16" Type="http://schemas.openxmlformats.org/officeDocument/2006/relationships/oleObject" Target="embeddings/oleObject4.bin"/><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16</TotalTime>
  <ScaleCrop>false</ScaleCrop>
  <LinksUpToDate>false</LinksUpToDate>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2021-05-25T08:50:00Z</dcterms:created>
  <dc:creator>Administrator</dc:creator>
  <cp:lastModifiedBy>Administrator</cp:lastModifiedBy>
  <dcterms:modified xsi:type="dcterms:W3CDTF">2021-05-26T02:35:35Z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CB4A42C588B741438BF9459E1287BE1C</vt:lpwstr>
  </property>
</Properties>
</file>