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tLeast"/>
        <w:jc w:val="center"/>
        <w:outlineLvl w:val="0"/>
        <w:rPr>
          <w:rFonts w:ascii="微软雅黑" w:hAnsi="微软雅黑" w:eastAsia="微软雅黑" w:cs="宋体"/>
          <w:color w:val="00489D"/>
          <w:kern w:val="36"/>
          <w:sz w:val="48"/>
          <w:szCs w:val="48"/>
        </w:rPr>
      </w:pPr>
      <w:r>
        <w:rPr>
          <w:rFonts w:hint="eastAsia" w:ascii="微软雅黑" w:hAnsi="微软雅黑" w:eastAsia="微软雅黑" w:cs="宋体"/>
          <w:color w:val="00489D"/>
          <w:kern w:val="36"/>
          <w:sz w:val="48"/>
          <w:szCs w:val="48"/>
        </w:rPr>
        <w:t>西安市莲湖区少年宫2018年度区级部门决算公开</w:t>
      </w:r>
    </w:p>
    <w:p>
      <w:pPr>
        <w:widowControl/>
        <w:shd w:val="clear" w:color="auto" w:fill="FFFFFF"/>
        <w:ind w:firstLine="640"/>
        <w:jc w:val="left"/>
        <w:rPr>
          <w:rFonts w:ascii="微软雅黑" w:hAnsi="微软雅黑" w:eastAsia="微软雅黑" w:cs="宋体"/>
          <w:color w:val="333333"/>
          <w:kern w:val="0"/>
          <w:sz w:val="27"/>
          <w:szCs w:val="27"/>
        </w:rPr>
      </w:pPr>
      <w:r>
        <w:rPr>
          <w:rFonts w:hint="eastAsia" w:ascii="黑体" w:hAnsi="黑体" w:eastAsia="黑体" w:cs="宋体"/>
          <w:color w:val="333333"/>
          <w:kern w:val="0"/>
          <w:sz w:val="32"/>
          <w:szCs w:val="32"/>
        </w:rPr>
        <w:t>一、部门概况</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（一）部门主要职责、机构设置。</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w:t>
      </w:r>
      <w:r>
        <w:rPr>
          <w:rFonts w:hint="eastAsia" w:ascii="黑体" w:hAnsi="黑体" w:eastAsia="黑体" w:cs="宋体"/>
          <w:color w:val="333333"/>
          <w:kern w:val="0"/>
          <w:sz w:val="32"/>
          <w:szCs w:val="32"/>
        </w:rPr>
        <w:t>部门主要职责</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开展少年儿童的校外教育，提高少年儿童艺术素质修养；开展符合少年儿童发展特点的各种文化宣传、文化交流、业余文化活动及科技文艺体育等专业知识的普及培训。</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黑体" w:hAnsi="黑体" w:eastAsia="黑体" w:cs="宋体"/>
          <w:color w:val="333333"/>
          <w:kern w:val="0"/>
          <w:sz w:val="32"/>
          <w:szCs w:val="32"/>
        </w:rPr>
        <w:t>2、部门机构设置</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宋体" w:hAnsi="宋体" w:eastAsia="宋体" w:cs="宋体"/>
          <w:color w:val="333333"/>
          <w:kern w:val="0"/>
          <w:sz w:val="32"/>
          <w:szCs w:val="32"/>
        </w:rPr>
        <w:t>  </w:t>
      </w:r>
      <w:r>
        <w:rPr>
          <w:rFonts w:hint="eastAsia" w:ascii="仿宋_GB2312" w:hAnsi="微软雅黑" w:eastAsia="仿宋_GB2312" w:cs="宋体"/>
          <w:color w:val="333333"/>
          <w:kern w:val="0"/>
          <w:sz w:val="32"/>
          <w:szCs w:val="32"/>
        </w:rPr>
        <w:t>西安市莲湖区少年宫内设：办公室、教务部、财务室、后勤部、活动部。</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（二）2018年度主要工作任务及目标。</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2018年，根据上级教育行政部门对校外教育的要求，稳步推进少年宫各项工作，加强阵地建设，营造优美的育人环境；加强师资队伍建设，培育品牌学科和名师，挖掘资源，全面实施未成年人思想道德建设意见；广泛捕捉、整合教育信息，全方位开展适合少儿特点的活动；深入教学研究，提升培训质量；认真策划活动内容，提升活动数量和档次；加强对外交流活动；继续治理软环境，进一步提升为学员、家长服务的意识；宣传、推介培训业绩和成果，提升其知名度和美誉度。</w:t>
      </w:r>
      <w:r>
        <w:rPr>
          <w:rFonts w:hint="eastAsia" w:ascii="仿宋_GB2312" w:hAnsi="微软雅黑" w:eastAsia="仿宋_GB2312" w:cs="宋体"/>
          <w:color w:val="333333"/>
          <w:kern w:val="0"/>
          <w:sz w:val="32"/>
          <w:szCs w:val="32"/>
        </w:rPr>
        <w:br w:type="textWrapping"/>
      </w:r>
      <w:r>
        <w:rPr>
          <w:rFonts w:hint="eastAsia" w:ascii="仿宋_GB2312" w:hAnsi="微软雅黑" w:eastAsia="仿宋_GB2312" w:cs="宋体"/>
          <w:color w:val="333333"/>
          <w:kern w:val="0"/>
          <w:sz w:val="32"/>
          <w:szCs w:val="32"/>
        </w:rPr>
        <w:t>    持续推进开展“迎春花”公益活动，全年免费培训学员3000名，免费提供艺术之旅；举行《绽放春天》2015级舞蹈团优秀剧目汇报演出；录制西安电视台陕西省小天鹅艺术团少儿春晚；莲湖区校外教育迎春花公益行动素质展示；舞蹈、声乐、器乐、表演主持等专业教育教学成果展示；书法专业组织小学员在开展义写春联公益活动；开展“呵护眼睛 从小做起”健康公益普查活动；舞蹈专业赴北京参加中央电视台“舞蹈世界”演出；参加中国教育电视台演出；赴美国参加“星光校园 文化中国 第八届中国非物质文化遗产联合国总部展演 第六届林肯国际校园艺术节”活动；东郊教学点拟定招生；持续开展迎春花公益行动；举办2018年西安市青少年“陕西小天鹅杯”象棋锦标赛；舞蹈专业参加“中华舞团——国家大剧院”演出；举办2018六一少儿文艺汇演；十月庆国庆汇报演出；教学过程优质化系列研讨；教育教学设施设备建设；少年宫环境建设项目：大厅内部装修及大楼外立面的装修。</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2018年，任务重，挑战多，莲湖区少年宫将着眼于当今校外教育发展的需要，继续坚持倡导公益、服务社会的育人理念，努力朝少年儿童素质教育和国际少年儿童文化交流的目标迈进，使她成为少年儿童艺术教育的摇篮，科技培训的殿堂，校外活动的中心，放飞梦想的乐园。</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（三）部门所属基层预算单位名称、单位性质、经费管理方式、人员及资产情况。</w:t>
      </w:r>
    </w:p>
    <w:p>
      <w:pPr>
        <w:widowControl/>
        <w:shd w:val="clear" w:color="auto" w:fill="FFFFFF"/>
        <w:ind w:left="640"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单位性质：西安市莲湖区少年宫为全额拨款的事业单位</w:t>
      </w:r>
    </w:p>
    <w:p>
      <w:pPr>
        <w:widowControl/>
        <w:shd w:val="clear" w:color="auto" w:fill="FFFFFF"/>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　　人员情况其中：2018年年末事业在编人数为12名，年末实有人数12人，退休人员10人。</w:t>
      </w:r>
    </w:p>
    <w:p>
      <w:pPr>
        <w:widowControl/>
        <w:shd w:val="clear" w:color="auto" w:fill="FFFFFF"/>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　　资产情况：截止2018年年末西安市莲湖区少年宫单位资产总额2897.24万元。</w:t>
      </w:r>
    </w:p>
    <w:p>
      <w:pPr>
        <w:widowControl/>
        <w:shd w:val="clear" w:color="auto" w:fill="FFFFFF"/>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　　经费管理方式：西安市莲湖区少年宫为全额预算拨款单位</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纳入本部门2018年部门决算编制范围的二级决算单位共有0个，包括：</w:t>
      </w:r>
    </w:p>
    <w:tbl>
      <w:tblPr>
        <w:tblStyle w:val="4"/>
        <w:tblW w:w="8522" w:type="dxa"/>
        <w:jc w:val="center"/>
        <w:tblLayout w:type="autofit"/>
        <w:tblCellMar>
          <w:top w:w="0" w:type="dxa"/>
          <w:left w:w="0" w:type="dxa"/>
          <w:bottom w:w="0" w:type="dxa"/>
          <w:right w:w="0" w:type="dxa"/>
        </w:tblCellMar>
      </w:tblPr>
      <w:tblGrid>
        <w:gridCol w:w="1593"/>
        <w:gridCol w:w="6929"/>
      </w:tblGrid>
      <w:tr>
        <w:tblPrEx>
          <w:tblCellMar>
            <w:top w:w="0" w:type="dxa"/>
            <w:left w:w="0" w:type="dxa"/>
            <w:bottom w:w="0" w:type="dxa"/>
            <w:right w:w="0" w:type="dxa"/>
          </w:tblCellMar>
        </w:tblPrEx>
        <w:trPr>
          <w:jc w:val="center"/>
        </w:trPr>
        <w:tc>
          <w:tcPr>
            <w:tcW w:w="1590"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center"/>
              <w:rPr>
                <w:rFonts w:ascii="宋体" w:hAnsi="宋体" w:eastAsia="宋体" w:cs="宋体"/>
                <w:kern w:val="0"/>
                <w:sz w:val="24"/>
                <w:szCs w:val="24"/>
              </w:rPr>
            </w:pPr>
            <w:r>
              <w:rPr>
                <w:rFonts w:hint="eastAsia" w:ascii="仿宋" w:hAnsi="仿宋" w:eastAsia="仿宋" w:cs="宋体"/>
                <w:kern w:val="0"/>
                <w:sz w:val="30"/>
                <w:szCs w:val="30"/>
              </w:rPr>
              <w:t>序号</w:t>
            </w:r>
          </w:p>
        </w:tc>
        <w:tc>
          <w:tcPr>
            <w:tcW w:w="6915"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center"/>
              <w:rPr>
                <w:rFonts w:ascii="宋体" w:hAnsi="宋体" w:eastAsia="宋体" w:cs="宋体"/>
                <w:kern w:val="0"/>
                <w:sz w:val="24"/>
                <w:szCs w:val="24"/>
              </w:rPr>
            </w:pPr>
            <w:r>
              <w:rPr>
                <w:rFonts w:hint="eastAsia" w:ascii="仿宋" w:hAnsi="仿宋" w:eastAsia="仿宋" w:cs="宋体"/>
                <w:kern w:val="0"/>
                <w:sz w:val="30"/>
                <w:szCs w:val="30"/>
              </w:rPr>
              <w:t>单位名称</w:t>
            </w:r>
          </w:p>
        </w:tc>
      </w:tr>
      <w:tr>
        <w:tblPrEx>
          <w:tblCellMar>
            <w:top w:w="0" w:type="dxa"/>
            <w:left w:w="0" w:type="dxa"/>
            <w:bottom w:w="0" w:type="dxa"/>
            <w:right w:w="0" w:type="dxa"/>
          </w:tblCellMar>
        </w:tblPrEx>
        <w:trPr>
          <w:jc w:val="center"/>
        </w:trPr>
        <w:tc>
          <w:tcPr>
            <w:tcW w:w="1590"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center"/>
              <w:rPr>
                <w:rFonts w:ascii="宋体" w:hAnsi="宋体" w:eastAsia="宋体" w:cs="宋体"/>
                <w:kern w:val="0"/>
                <w:sz w:val="24"/>
                <w:szCs w:val="24"/>
              </w:rPr>
            </w:pPr>
            <w:r>
              <w:rPr>
                <w:rFonts w:hint="eastAsia" w:ascii="仿宋" w:hAnsi="仿宋" w:eastAsia="仿宋" w:cs="宋体"/>
                <w:kern w:val="0"/>
                <w:sz w:val="30"/>
                <w:szCs w:val="30"/>
              </w:rPr>
              <w:t>1</w:t>
            </w:r>
          </w:p>
        </w:tc>
        <w:tc>
          <w:tcPr>
            <w:tcW w:w="6915"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left"/>
              <w:rPr>
                <w:rFonts w:hint="eastAsia" w:ascii="宋体" w:hAnsi="宋体" w:eastAsia="宋体" w:cs="宋体"/>
                <w:kern w:val="0"/>
                <w:sz w:val="24"/>
                <w:szCs w:val="24"/>
                <w:lang w:eastAsia="zh-CN"/>
              </w:rPr>
            </w:pPr>
            <w:r>
              <w:rPr>
                <w:rFonts w:hint="eastAsia" w:ascii="仿宋" w:hAnsi="仿宋" w:eastAsia="仿宋" w:cs="仿宋"/>
                <w:kern w:val="0"/>
                <w:sz w:val="32"/>
                <w:szCs w:val="32"/>
                <w:lang w:eastAsia="zh-CN"/>
              </w:rPr>
              <w:t>西安市莲湖区少年宫（本级）</w:t>
            </w:r>
          </w:p>
        </w:tc>
      </w:tr>
      <w:tr>
        <w:tblPrEx>
          <w:tblCellMar>
            <w:top w:w="0" w:type="dxa"/>
            <w:left w:w="0" w:type="dxa"/>
            <w:bottom w:w="0" w:type="dxa"/>
            <w:right w:w="0" w:type="dxa"/>
          </w:tblCellMar>
        </w:tblPrEx>
        <w:trPr>
          <w:jc w:val="center"/>
        </w:trPr>
        <w:tc>
          <w:tcPr>
            <w:tcW w:w="1590"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center"/>
              <w:rPr>
                <w:rFonts w:ascii="宋体" w:hAnsi="宋体" w:eastAsia="宋体" w:cs="宋体"/>
                <w:kern w:val="0"/>
                <w:sz w:val="24"/>
                <w:szCs w:val="24"/>
              </w:rPr>
            </w:pPr>
            <w:r>
              <w:rPr>
                <w:rFonts w:hint="eastAsia" w:ascii="仿宋" w:hAnsi="仿宋" w:eastAsia="仿宋" w:cs="宋体"/>
                <w:kern w:val="0"/>
                <w:sz w:val="30"/>
                <w:szCs w:val="30"/>
              </w:rPr>
              <w:t>2</w:t>
            </w:r>
          </w:p>
        </w:tc>
        <w:tc>
          <w:tcPr>
            <w:tcW w:w="6915"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left"/>
              <w:rPr>
                <w:rFonts w:ascii="宋体" w:hAnsi="宋体" w:eastAsia="宋体" w:cs="宋体"/>
                <w:kern w:val="0"/>
                <w:sz w:val="24"/>
                <w:szCs w:val="24"/>
              </w:rPr>
            </w:pPr>
            <w:r>
              <w:rPr>
                <w:rFonts w:hint="eastAsia" w:ascii="仿宋" w:hAnsi="仿宋" w:eastAsia="仿宋" w:cs="宋体"/>
                <w:kern w:val="0"/>
                <w:sz w:val="30"/>
                <w:szCs w:val="30"/>
              </w:rPr>
              <w:t>……</w:t>
            </w:r>
          </w:p>
        </w:tc>
      </w:tr>
      <w:tr>
        <w:tblPrEx>
          <w:tblCellMar>
            <w:top w:w="0" w:type="dxa"/>
            <w:left w:w="0" w:type="dxa"/>
            <w:bottom w:w="0" w:type="dxa"/>
            <w:right w:w="0" w:type="dxa"/>
          </w:tblCellMar>
        </w:tblPrEx>
        <w:trPr>
          <w:jc w:val="center"/>
        </w:trPr>
        <w:tc>
          <w:tcPr>
            <w:tcW w:w="1590"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center"/>
              <w:rPr>
                <w:rFonts w:ascii="宋体" w:hAnsi="宋体" w:eastAsia="宋体" w:cs="宋体"/>
                <w:kern w:val="0"/>
                <w:sz w:val="24"/>
                <w:szCs w:val="24"/>
              </w:rPr>
            </w:pPr>
            <w:r>
              <w:rPr>
                <w:rFonts w:hint="eastAsia" w:ascii="仿宋" w:hAnsi="仿宋" w:eastAsia="仿宋" w:cs="宋体"/>
                <w:kern w:val="0"/>
                <w:sz w:val="30"/>
                <w:szCs w:val="30"/>
              </w:rPr>
              <w:t>3</w:t>
            </w:r>
          </w:p>
        </w:tc>
        <w:tc>
          <w:tcPr>
            <w:tcW w:w="6915"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left"/>
              <w:rPr>
                <w:rFonts w:ascii="宋体" w:hAnsi="宋体" w:eastAsia="宋体" w:cs="宋体"/>
                <w:kern w:val="0"/>
                <w:sz w:val="24"/>
                <w:szCs w:val="24"/>
              </w:rPr>
            </w:pPr>
            <w:r>
              <w:rPr>
                <w:rFonts w:hint="eastAsia" w:ascii="仿宋" w:hAnsi="仿宋" w:eastAsia="仿宋" w:cs="宋体"/>
                <w:kern w:val="0"/>
                <w:sz w:val="30"/>
                <w:szCs w:val="30"/>
              </w:rPr>
              <w:t>……</w:t>
            </w:r>
          </w:p>
        </w:tc>
      </w:tr>
      <w:tr>
        <w:tblPrEx>
          <w:tblCellMar>
            <w:top w:w="0" w:type="dxa"/>
            <w:left w:w="0" w:type="dxa"/>
            <w:bottom w:w="0" w:type="dxa"/>
            <w:right w:w="0" w:type="dxa"/>
          </w:tblCellMar>
        </w:tblPrEx>
        <w:trPr>
          <w:jc w:val="center"/>
        </w:trPr>
        <w:tc>
          <w:tcPr>
            <w:tcW w:w="1590"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center"/>
              <w:rPr>
                <w:rFonts w:ascii="宋体" w:hAnsi="宋体" w:eastAsia="宋体" w:cs="宋体"/>
                <w:kern w:val="0"/>
                <w:sz w:val="24"/>
                <w:szCs w:val="24"/>
              </w:rPr>
            </w:pPr>
            <w:r>
              <w:rPr>
                <w:rFonts w:hint="eastAsia" w:ascii="仿宋" w:hAnsi="仿宋" w:eastAsia="仿宋" w:cs="宋体"/>
                <w:kern w:val="0"/>
                <w:sz w:val="30"/>
                <w:szCs w:val="30"/>
              </w:rPr>
              <w:t>……</w:t>
            </w:r>
          </w:p>
        </w:tc>
        <w:tc>
          <w:tcPr>
            <w:tcW w:w="6915" w:type="dxa"/>
            <w:tcBorders>
              <w:top w:val="single" w:color="auto" w:sz="8" w:space="0"/>
              <w:left w:val="single" w:color="auto" w:sz="8" w:space="0"/>
              <w:bottom w:val="single" w:color="auto" w:sz="8" w:space="0"/>
              <w:right w:val="single" w:color="auto" w:sz="8" w:space="0"/>
            </w:tcBorders>
            <w:shd w:val="clear" w:color="auto" w:fill="auto"/>
            <w:tcMar>
              <w:top w:w="0" w:type="dxa"/>
              <w:left w:w="150" w:type="dxa"/>
              <w:bottom w:w="0" w:type="dxa"/>
              <w:right w:w="0" w:type="dxa"/>
            </w:tcMar>
          </w:tcPr>
          <w:p>
            <w:pPr>
              <w:widowControl/>
              <w:jc w:val="left"/>
              <w:rPr>
                <w:rFonts w:ascii="宋体" w:hAnsi="宋体" w:eastAsia="宋体" w:cs="宋体"/>
                <w:kern w:val="0"/>
                <w:sz w:val="24"/>
                <w:szCs w:val="24"/>
              </w:rPr>
            </w:pPr>
            <w:r>
              <w:rPr>
                <w:rFonts w:hint="eastAsia" w:ascii="仿宋" w:hAnsi="仿宋" w:eastAsia="仿宋" w:cs="宋体"/>
                <w:kern w:val="0"/>
                <w:sz w:val="30"/>
                <w:szCs w:val="30"/>
              </w:rPr>
              <w:t>……</w:t>
            </w:r>
          </w:p>
        </w:tc>
      </w:tr>
    </w:tbl>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部门人员情况说明：文字说明，并列图表。</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截止2018年底，本部门人员编制12人，其中行政编制0人、事业编制12人；实有人员12人，其中行政0人、事业12人。单位管理的离退休人员10人。</w:t>
      </w:r>
      <w:r>
        <w:rPr>
          <w:rFonts w:hint="eastAsia" w:ascii="仿宋_GB2312" w:hAnsi="微软雅黑" w:eastAsia="仿宋_GB2312" w:cs="宋体"/>
          <w:color w:val="333333"/>
          <w:kern w:val="0"/>
          <w:sz w:val="32"/>
          <w:szCs w:val="32"/>
        </w:rPr>
        <w:br w:type="textWrapping"/>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微软雅黑" w:hAnsi="微软雅黑" w:eastAsia="微软雅黑" w:cs="宋体"/>
          <w:color w:val="333333"/>
          <w:kern w:val="0"/>
          <w:sz w:val="27"/>
          <w:szCs w:val="27"/>
        </w:rPr>
        <w:t>                                           </w:t>
      </w:r>
      <w:r>
        <w:rPr>
          <w:rFonts w:ascii="微软雅黑" w:hAnsi="微软雅黑" w:eastAsia="微软雅黑" w:cs="宋体"/>
          <w:color w:val="333333"/>
          <w:kern w:val="0"/>
          <w:sz w:val="27"/>
          <w:szCs w:val="27"/>
        </w:rPr>
        <w:drawing>
          <wp:inline distT="0" distB="0" distL="0" distR="0">
            <wp:extent cx="2419350" cy="1895475"/>
            <wp:effectExtent l="0" t="0" r="0" b="9525"/>
            <wp:docPr id="1" name="图片 1" descr="http://www.lianhu.gov.cn/web_files/www.lianhu.gov.cn/picture/2019/09/12201909120436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lianhu.gov.cn/web_files/www.lianhu.gov.cn/picture/2019/09/12201909120436039.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419350" cy="1895475"/>
                    </a:xfrm>
                    <a:prstGeom prst="rect">
                      <a:avLst/>
                    </a:prstGeom>
                    <a:noFill/>
                    <a:ln>
                      <a:noFill/>
                    </a:ln>
                  </pic:spPr>
                </pic:pic>
              </a:graphicData>
            </a:graphic>
          </wp:inline>
        </w:drawing>
      </w:r>
      <w:r>
        <w:rPr>
          <w:rFonts w:hint="eastAsia" w:ascii="微软雅黑" w:hAnsi="微软雅黑" w:eastAsia="微软雅黑" w:cs="宋体"/>
          <w:color w:val="333333"/>
          <w:kern w:val="0"/>
          <w:sz w:val="27"/>
          <w:szCs w:val="27"/>
        </w:rPr>
        <w:br w:type="textWrapping"/>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黑体" w:hAnsi="黑体" w:eastAsia="黑体" w:cs="宋体"/>
          <w:color w:val="333333"/>
          <w:kern w:val="0"/>
          <w:sz w:val="32"/>
          <w:szCs w:val="32"/>
        </w:rPr>
        <w:t>二、部门决算公开信息表</w:t>
      </w:r>
    </w:p>
    <w:p>
      <w:pPr>
        <w:widowControl/>
        <w:shd w:val="clear" w:color="auto" w:fill="FFFFFF"/>
        <w:ind w:left="1580" w:hanging="948"/>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（一） 2018年度决算收支总表</w:t>
      </w:r>
    </w:p>
    <w:p>
      <w:pPr>
        <w:widowControl/>
        <w:shd w:val="clear" w:color="auto" w:fill="FFFFFF"/>
        <w:ind w:left="1580" w:hanging="948"/>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（二） 2018年度部门决算收入总表</w:t>
      </w:r>
    </w:p>
    <w:p>
      <w:pPr>
        <w:widowControl/>
        <w:shd w:val="clear" w:color="auto" w:fill="FFFFFF"/>
        <w:ind w:left="1580" w:hanging="948"/>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（三） 2018年度部门决算支出总表</w:t>
      </w:r>
    </w:p>
    <w:p>
      <w:pPr>
        <w:widowControl/>
        <w:shd w:val="clear" w:color="auto" w:fill="FFFFFF"/>
        <w:ind w:left="632"/>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（四）2018年度部门决算财政拨款收支总表</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（五）2018年度部门决算一般公共预算财政拨款支出表（按功能分类科目）</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（六）2018年度部门决算一般公共预算财政拨款基本支出表（按经济分类科目）</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（七）2018年度部门决算政府性基金收入支出总表（没有数据的表格应当列出空表并说明）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（八）2018年度部门决算政府性基金预算支出表（没有数据的表格应当列出空表并说明）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（九）2018年度部门决算一般公共预算财政拨款“三公”经费支出及国有资产占用情况表</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（十）2018年度部门决算“三公”经费公共预算财政拨款支出上下年增减变化情况表</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（十一）2018年度部门决算政府采购情况表（没有数据的表格应当列出空表并说明）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（十二）2018年度部门决算机关运行经费表（没有数据的表格应当列出空表并说明）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黑体" w:hAnsi="黑体" w:eastAsia="黑体" w:cs="宋体"/>
          <w:color w:val="333333"/>
          <w:kern w:val="0"/>
          <w:sz w:val="32"/>
          <w:szCs w:val="32"/>
        </w:rPr>
        <w:t>三、部门决算情况说明</w:t>
      </w:r>
    </w:p>
    <w:p>
      <w:pPr>
        <w:widowControl/>
        <w:shd w:val="clear" w:color="auto" w:fill="FFFFFF"/>
        <w:ind w:firstLine="562"/>
        <w:jc w:val="left"/>
        <w:rPr>
          <w:rFonts w:hint="eastAsia" w:ascii="微软雅黑" w:hAnsi="微软雅黑" w:eastAsia="微软雅黑" w:cs="宋体"/>
          <w:color w:val="333333"/>
          <w:kern w:val="0"/>
          <w:sz w:val="27"/>
          <w:szCs w:val="27"/>
        </w:rPr>
      </w:pPr>
      <w:r>
        <w:rPr>
          <w:rFonts w:hint="eastAsia" w:ascii="宋体" w:hAnsi="宋体" w:eastAsia="宋体" w:cs="宋体"/>
          <w:b/>
          <w:bCs/>
          <w:color w:val="333333"/>
          <w:kern w:val="0"/>
          <w:sz w:val="28"/>
          <w:szCs w:val="28"/>
        </w:rPr>
        <w:t>（</w:t>
      </w:r>
      <w:r>
        <w:rPr>
          <w:rFonts w:hint="eastAsia" w:ascii="仿宋_GB2312" w:hAnsi="微软雅黑" w:eastAsia="仿宋_GB2312" w:cs="宋体"/>
          <w:b/>
          <w:bCs/>
          <w:color w:val="333333"/>
          <w:kern w:val="0"/>
          <w:sz w:val="32"/>
          <w:szCs w:val="32"/>
        </w:rPr>
        <w:t>一）2018年度收入支出决算总体情况说明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1．收入总计2268.08万元,较上年增加685.1万元，其中：</w:t>
      </w:r>
    </w:p>
    <w:p>
      <w:pPr>
        <w:widowControl/>
        <w:shd w:val="clear" w:color="auto" w:fill="FFFFFF"/>
        <w:ind w:left="631" w:hanging="631"/>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　　    （1）公共预算财政拨款收入2266.60万元，较上年增加838.8万元,主要增加原因少年宫扩大学员增加，项目增大，非税征缴增加。　　</w:t>
      </w:r>
    </w:p>
    <w:p>
      <w:pPr>
        <w:widowControl/>
        <w:shd w:val="clear" w:color="auto" w:fill="FFFFFF"/>
        <w:ind w:firstLine="625"/>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（2）政府性基金收入0万元，较上年减少95万元，主要减少原因少年宫2018年无校园工程建设。</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（3）事业收入0万元，，较上年增减0万元。</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（4）经营收入0万元，较上年增减0万元。</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（5）其他收入1.48元，较上年增加0.16万元，增加原因其他收入为银行利息，少年宫扩大学员增加。</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（6）用事业基金弥补收支差额0元（事业单位填）。</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（7）上年结转和结余0万元,为以前年度尚未列支，结转到本年仍按按规定用途继续使用的资金，</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2．支出总计2268.08万元，较上年增加685.1万元。其中：</w:t>
      </w:r>
    </w:p>
    <w:p>
      <w:pPr>
        <w:widowControl/>
        <w:shd w:val="clear" w:color="auto" w:fill="FFFFFF"/>
        <w:ind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　　（1）基本支出101.25万元，主要是为保障机构正常运转、完成日常工作任务而发生的各项支出，较上年少减32.35万元，减少原因为2018年少年宫退休1人退休。</w:t>
      </w:r>
    </w:p>
    <w:p>
      <w:pPr>
        <w:widowControl/>
        <w:shd w:val="clear" w:color="auto" w:fill="FFFFFF"/>
        <w:ind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（2）项目支出2166.83万元，主要是为完成特定的行政工作任务或事业发展目标，在基本支出之外发生的支出，较上年增加717.45万元，主要增加原因为少年宫规模扩大，不断努力提高教学水平，同时项目支出增加。</w:t>
      </w:r>
    </w:p>
    <w:p>
      <w:pPr>
        <w:widowControl/>
        <w:shd w:val="clear" w:color="auto" w:fill="FFFFFF"/>
        <w:ind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（3）经营支出0万元，主要所属事业单位在活动及辅助活动之外开展非独立核算经营活动发生的支出，较上年增减0万元。</w:t>
      </w:r>
    </w:p>
    <w:p>
      <w:pPr>
        <w:widowControl/>
        <w:shd w:val="clear" w:color="auto" w:fill="FFFFFF"/>
        <w:ind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（４）对附属单位补助支出0万元，主要是所属事业单位用非财政预算资金对附属单位的补助支出，较上年增减0万元。</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（5）结余分配0万元，主要所属事业单位按事业单位会计制度提取的事业基金。</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（6）年末结转和结余0万元,主要是本年或以前年度预算安排、因客观条件发生变化无法按计划实施，需延迟到以后年度按原规定用途继续使用的资金。</w:t>
      </w:r>
    </w:p>
    <w:p>
      <w:pPr>
        <w:widowControl/>
        <w:shd w:val="clear" w:color="auto" w:fill="FFFFFF"/>
        <w:ind w:firstLine="643"/>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（二）2018年度财政拨款收入支出总体情况说明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1．财政拨款收入支出总体情况及上下年增减情况，分析增减变化的原因。</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2018年度一般公共预算财政拨款收入2266.6万元，其中：基本支出101.25万元，项目支出2165.35万元，较上年增加838.8万元，主要增加原因少年宫扩大学员增加，项目增大，非税征缴增加。。</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2018年度一般公共预算财政拨款基本支出2266.6万元，其中：</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（1）人员经费支出101.25万元，按照支出经济科目分类，工资福利支出101.25万元。</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（2）日常公用经费2165.35万元，按照支出经济科目分类，商品和服务支出2165.35万元。</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2．一般公共预算财政拨款支出情况。（按支出功能分类科目进行详细说明支出具体内容）</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教育支出2266.6万元，较上年增加838.8万元。其中：其中：基本工资64.98万元，绩效工资36.26万元，商品和服务支出1949.35万元，资本性支出216万元。</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3.一般公共预算财政拨款基本支出决算情况。（按人员经费和公用经费分别进行说明）</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2B2B2B"/>
          <w:kern w:val="0"/>
          <w:sz w:val="32"/>
          <w:szCs w:val="32"/>
          <w:shd w:val="clear" w:color="auto" w:fill="FFFFFF"/>
        </w:rPr>
        <w:t>2018年度一般公共预算财政拨款支出2266.6万元，其中，人员经费101.25万元，较上年减少32.35万元；公用经费2165.35万元，较上年增加871.15万元。</w:t>
      </w:r>
    </w:p>
    <w:p>
      <w:pPr>
        <w:widowControl/>
        <w:shd w:val="clear" w:color="auto" w:fill="FFFFFF"/>
        <w:ind w:firstLine="482"/>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4、</w:t>
      </w:r>
      <w:r>
        <w:rPr>
          <w:rFonts w:hint="eastAsia" w:ascii="仿宋_GB2312" w:hAnsi="微软雅黑" w:eastAsia="仿宋_GB2312" w:cs="宋体"/>
          <w:color w:val="333333"/>
          <w:kern w:val="0"/>
          <w:sz w:val="32"/>
          <w:szCs w:val="32"/>
        </w:rPr>
        <w:t>政府性基金预算财政拨款收入支出情况说明</w:t>
      </w:r>
    </w:p>
    <w:p>
      <w:pPr>
        <w:widowControl/>
        <w:shd w:val="clear" w:color="auto" w:fill="FFFFFF"/>
        <w:ind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本部门无政府性基金决算收支，并已公开空表。</w:t>
      </w:r>
    </w:p>
    <w:p>
      <w:pPr>
        <w:widowControl/>
        <w:shd w:val="clear" w:color="auto" w:fill="FFFFFF"/>
        <w:ind w:left="479"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（三）2018年度“三公”经费支出情况说明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说明2018年度一般公共预算财政拨款安排的“三公经费”支出总体情况和分项构成情况，比上年增减情况，分析增减原因。具体说明因公出国（境）团组情况、公务用车购置运行情况及保有情况、公务接待国内公务接待的批次、人数、经费总额等。</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2018年度一般公共预算财政拨款安排的“三公”经费支出中，因公出国（境）费支出0万元，占“三公”经费的0%；公务接待费支出0万元，占“三公”经费的0%；公务用车购置及运行费支出0万元，占“三公”经费的0%。具体情况如下：</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1、因公出国（境）费支出0万元，比上年决算增加（减少）0万元。全年使用一般公共预算财政拨款安排的出国（境）团组0个，累计0人次。</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2、公务接待费支0万元。其中：</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（1）国内公务接待支出0万元，比上年决算增加（减少）0万元。全年使用一般公共预算财政拨款安排的国内公务接待0批次，0人次。</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（2）外事接待支出0万元，比上年决算增加（减少）0万元0</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3、公务用车购置及运行费支出0万元。其中：</w:t>
      </w:r>
    </w:p>
    <w:p>
      <w:pPr>
        <w:widowControl/>
        <w:shd w:val="clear" w:color="auto" w:fill="FFFFFF"/>
        <w:ind w:firstLine="80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（1）公务用车购置支出0万元，比上年决算增加（减少）0万元。本年度使用一般公共预算财政拨款购置公务用车0辆。</w:t>
      </w:r>
    </w:p>
    <w:p>
      <w:pPr>
        <w:widowControl/>
        <w:shd w:val="clear" w:color="auto" w:fill="FFFFFF"/>
        <w:ind w:firstLine="735"/>
        <w:jc w:val="left"/>
        <w:rPr>
          <w:rFonts w:hint="eastAsia" w:ascii="仿宋_GB2312" w:hAnsi="微软雅黑" w:eastAsia="仿宋_GB2312" w:cs="宋体"/>
          <w:color w:val="333333"/>
          <w:kern w:val="0"/>
          <w:sz w:val="32"/>
          <w:szCs w:val="32"/>
          <w:lang w:eastAsia="zh-CN"/>
        </w:rPr>
      </w:pPr>
      <w:r>
        <w:rPr>
          <w:rFonts w:hint="eastAsia" w:ascii="仿宋_GB2312" w:hAnsi="微软雅黑" w:eastAsia="仿宋_GB2312" w:cs="宋体"/>
          <w:color w:val="333333"/>
          <w:kern w:val="0"/>
          <w:sz w:val="32"/>
          <w:szCs w:val="32"/>
        </w:rPr>
        <w:t>（2）公务用车运行维护费支出0万元，比上年决算增加（减少）0万元。2018年使用一般公共预算财政拨款开支维护费的公务用车保有量0辆。</w:t>
      </w:r>
    </w:p>
    <w:p>
      <w:pPr>
        <w:widowControl/>
        <w:shd w:val="clear" w:color="auto" w:fill="FFFFFF"/>
        <w:ind w:firstLine="735"/>
        <w:jc w:val="left"/>
        <w:rPr>
          <w:rFonts w:hint="default" w:ascii="仿宋_GB2312" w:hAnsi="微软雅黑" w:eastAsia="仿宋_GB2312" w:cs="宋体"/>
          <w:color w:val="333333"/>
          <w:kern w:val="0"/>
          <w:sz w:val="32"/>
          <w:szCs w:val="32"/>
          <w:lang w:val="en-US" w:eastAsia="zh-CN"/>
        </w:rPr>
      </w:pPr>
      <w:r>
        <w:rPr>
          <w:rFonts w:hint="eastAsia" w:ascii="仿宋_GB2312" w:hAnsi="微软雅黑" w:eastAsia="仿宋_GB2312" w:cs="宋体"/>
          <w:color w:val="333333"/>
          <w:kern w:val="0"/>
          <w:sz w:val="32"/>
          <w:szCs w:val="32"/>
          <w:lang w:val="en-US" w:eastAsia="zh-CN"/>
        </w:rPr>
        <w:t>4.会议费支出0.275万元，比上年决算减少0.41万元。</w:t>
      </w:r>
    </w:p>
    <w:p>
      <w:pPr>
        <w:widowControl/>
        <w:shd w:val="clear" w:color="auto" w:fill="FFFFFF"/>
        <w:ind w:firstLine="735"/>
        <w:jc w:val="left"/>
        <w:rPr>
          <w:rFonts w:hint="default" w:ascii="仿宋_GB2312" w:hAnsi="微软雅黑" w:eastAsia="仿宋_GB2312" w:cs="宋体"/>
          <w:color w:val="333333"/>
          <w:kern w:val="0"/>
          <w:sz w:val="32"/>
          <w:szCs w:val="32"/>
          <w:lang w:val="en-US" w:eastAsia="zh-CN"/>
        </w:rPr>
      </w:pPr>
      <w:r>
        <w:rPr>
          <w:rFonts w:hint="eastAsia" w:ascii="仿宋_GB2312" w:hAnsi="微软雅黑" w:eastAsia="仿宋_GB2312" w:cs="宋体"/>
          <w:color w:val="333333"/>
          <w:kern w:val="0"/>
          <w:sz w:val="32"/>
          <w:szCs w:val="32"/>
          <w:lang w:val="en-US" w:eastAsia="zh-CN"/>
        </w:rPr>
        <w:t>5.培训费支出6.611万元，比上年决算增加6.611万元。</w:t>
      </w:r>
      <w:bookmarkStart w:id="0" w:name="_GoBack"/>
      <w:bookmarkEnd w:id="0"/>
    </w:p>
    <w:p>
      <w:pPr>
        <w:widowControl/>
        <w:shd w:val="clear" w:color="auto" w:fill="FFFFFF"/>
        <w:ind w:firstLine="482"/>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（四）政府采购支出情况</w:t>
      </w:r>
      <w:r>
        <w:rPr>
          <w:rFonts w:hint="eastAsia" w:ascii="微软雅黑" w:hAnsi="微软雅黑" w:eastAsia="微软雅黑" w:cs="宋体"/>
          <w:b/>
          <w:bCs/>
          <w:color w:val="333333"/>
          <w:kern w:val="0"/>
          <w:sz w:val="24"/>
          <w:szCs w:val="24"/>
        </w:rPr>
        <w:t>。</w:t>
      </w:r>
    </w:p>
    <w:p>
      <w:pPr>
        <w:widowControl/>
        <w:shd w:val="clear" w:color="auto" w:fill="FFFFFF"/>
        <w:ind w:firstLine="360"/>
        <w:jc w:val="left"/>
        <w:rPr>
          <w:rFonts w:hint="eastAsia" w:ascii="微软雅黑" w:hAnsi="微软雅黑" w:eastAsia="微软雅黑" w:cs="宋体"/>
          <w:color w:val="333333"/>
          <w:kern w:val="0"/>
          <w:sz w:val="27"/>
          <w:szCs w:val="27"/>
        </w:rPr>
      </w:pPr>
      <w:r>
        <w:rPr>
          <w:rFonts w:hint="eastAsia" w:ascii="微软雅黑" w:hAnsi="微软雅黑" w:eastAsia="微软雅黑" w:cs="宋体"/>
          <w:color w:val="333333"/>
          <w:kern w:val="0"/>
          <w:sz w:val="24"/>
          <w:szCs w:val="24"/>
        </w:rPr>
        <w:t>     </w:t>
      </w:r>
      <w:r>
        <w:rPr>
          <w:rFonts w:hint="eastAsia" w:ascii="仿宋_GB2312" w:hAnsi="微软雅黑" w:eastAsia="仿宋_GB2312" w:cs="宋体"/>
          <w:color w:val="333333"/>
          <w:kern w:val="0"/>
          <w:sz w:val="32"/>
          <w:szCs w:val="32"/>
        </w:rPr>
        <w:t>本部门2018年无政府采购支出。</w:t>
      </w:r>
    </w:p>
    <w:p>
      <w:pPr>
        <w:widowControl/>
        <w:shd w:val="clear" w:color="auto" w:fill="FFFFFF"/>
        <w:ind w:firstLine="482"/>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（五）重点项目预算的绩效评价情况（有则填，无则不填）。</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2B2B2B"/>
          <w:kern w:val="0"/>
          <w:sz w:val="32"/>
          <w:szCs w:val="32"/>
          <w:shd w:val="clear" w:color="auto" w:fill="FFFFFF"/>
        </w:rPr>
        <w:t>少年宫2018年无重点预算项目的预算绩效，不涉及预算绩效项目的收入支出。</w:t>
      </w:r>
    </w:p>
    <w:p>
      <w:pPr>
        <w:widowControl/>
        <w:shd w:val="clear" w:color="auto" w:fill="FFFFFF"/>
        <w:ind w:firstLine="643"/>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（六）机构运行经费支出情况说明及增减变化原因。</w:t>
      </w:r>
    </w:p>
    <w:p>
      <w:pPr>
        <w:widowControl/>
        <w:shd w:val="clear" w:color="auto" w:fill="FFFFFF"/>
        <w:ind w:firstLine="96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无相应资金</w:t>
      </w:r>
    </w:p>
    <w:p>
      <w:pPr>
        <w:widowControl/>
        <w:shd w:val="clear" w:color="auto" w:fill="FFFFFF"/>
        <w:ind w:firstLine="482"/>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（七）国有资产占用及购置情况说明</w:t>
      </w:r>
    </w:p>
    <w:p>
      <w:pPr>
        <w:widowControl/>
        <w:shd w:val="clear" w:color="auto" w:fill="FFFFFF"/>
        <w:ind w:firstLine="48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截至2018年末，本部门所属单位共有车辆0辆；单价50万元以上的通用设备0台（套）；单价100万元以上的通用设备0台（套）。2018年当年购置车辆0辆；购置单价50万元以上的设备0台（套）；购置单价100万元以上的通用设备0台（套）。</w:t>
      </w:r>
    </w:p>
    <w:p>
      <w:pPr>
        <w:widowControl/>
        <w:shd w:val="clear" w:color="auto" w:fill="FFFFFF"/>
        <w:ind w:firstLine="482"/>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（八）国有资本经营财政拨款收支情况说明</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本部门无国有资本经营决算拨款收支。</w:t>
      </w:r>
    </w:p>
    <w:p>
      <w:pPr>
        <w:widowControl/>
        <w:shd w:val="clear" w:color="auto" w:fill="FFFFFF"/>
        <w:ind w:firstLine="482"/>
        <w:jc w:val="left"/>
        <w:rPr>
          <w:rFonts w:hint="eastAsia" w:ascii="微软雅黑" w:hAnsi="微软雅黑" w:eastAsia="微软雅黑" w:cs="宋体"/>
          <w:color w:val="333333"/>
          <w:kern w:val="0"/>
          <w:sz w:val="27"/>
          <w:szCs w:val="27"/>
        </w:rPr>
      </w:pPr>
      <w:r>
        <w:rPr>
          <w:rFonts w:hint="eastAsia" w:ascii="仿宋_GB2312" w:hAnsi="微软雅黑" w:eastAsia="仿宋_GB2312" w:cs="宋体"/>
          <w:b/>
          <w:bCs/>
          <w:color w:val="333333"/>
          <w:kern w:val="0"/>
          <w:sz w:val="32"/>
          <w:szCs w:val="32"/>
        </w:rPr>
        <w:t>（九）专业名词解释</w:t>
      </w:r>
    </w:p>
    <w:p>
      <w:pPr>
        <w:widowControl/>
        <w:shd w:val="clear" w:color="auto" w:fill="FFFFFF"/>
        <w:ind w:left="105" w:firstLine="63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1.三公经费：指财政拨款支出安排的出国（境）费，车辆购置及运行费、公务接待三项费用。</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2.机关运行经费：</w:t>
      </w:r>
      <w:r>
        <w:rPr>
          <w:rFonts w:hint="eastAsia" w:ascii="仿宋_GB2312" w:hAnsi="微软雅黑" w:eastAsia="仿宋_GB2312" w:cs="宋体"/>
          <w:color w:val="2B2B2B"/>
          <w:kern w:val="0"/>
          <w:sz w:val="32"/>
          <w:szCs w:val="32"/>
          <w:shd w:val="clear" w:color="auto" w:fill="FFFFFF"/>
        </w:rPr>
        <w:t>是指各部门的公用经费，包括办公及印刷费、邮电费、差旅费、会议费、福利费、日常维修费、专用材料及一般设备购置费、办公用房水电费、办公取暖费、办公用房物业管理费、公务用车运行维护以及其他费用。</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3.基本支出：工资福利支出：包括在职人员的工资和各项补贴、津贴。商品服务支出：包括入场办公经费支出，如：办公费、水电费、交通费、差旅费、会议费、培训费等。</w:t>
      </w:r>
    </w:p>
    <w:p>
      <w:pPr>
        <w:widowControl/>
        <w:shd w:val="clear" w:color="auto" w:fill="FFFFFF"/>
        <w:ind w:firstLine="640"/>
        <w:jc w:val="left"/>
        <w:rPr>
          <w:rFonts w:hint="eastAsia" w:ascii="微软雅黑" w:hAnsi="微软雅黑" w:eastAsia="微软雅黑" w:cs="宋体"/>
          <w:color w:val="333333"/>
          <w:kern w:val="0"/>
          <w:sz w:val="27"/>
          <w:szCs w:val="27"/>
        </w:rPr>
      </w:pPr>
      <w:r>
        <w:rPr>
          <w:rFonts w:hint="eastAsia" w:ascii="仿宋_GB2312" w:hAnsi="微软雅黑" w:eastAsia="仿宋_GB2312" w:cs="宋体"/>
          <w:color w:val="333333"/>
          <w:kern w:val="0"/>
          <w:sz w:val="32"/>
          <w:szCs w:val="32"/>
        </w:rPr>
        <w:t>4.项目支出：项目支出主要用于其他普通教育支出等项目支出。</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8DC"/>
    <w:rsid w:val="004F6BCB"/>
    <w:rsid w:val="00EF7A4D"/>
    <w:rsid w:val="00F908DC"/>
    <w:rsid w:val="10CF55D0"/>
    <w:rsid w:val="1A375717"/>
    <w:rsid w:val="407D1FBF"/>
    <w:rsid w:val="51BA6554"/>
    <w:rsid w:val="63870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标题 1 Char"/>
    <w:basedOn w:val="5"/>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632</Words>
  <Characters>3606</Characters>
  <Lines>30</Lines>
  <Paragraphs>8</Paragraphs>
  <TotalTime>13</TotalTime>
  <ScaleCrop>false</ScaleCrop>
  <LinksUpToDate>false</LinksUpToDate>
  <CharactersWithSpaces>4230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2021-05-26T03:31:00Z</dcterms:created>
  <dc:creator>admin</dc:creator>
  <cp:lastModifiedBy>Administrator</cp:lastModifiedBy>
  <dcterms:modified xsi:type="dcterms:W3CDTF">2021-05-26T06:35:00Z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7DC887879E28451EA0530FF326CF775A</vt:lpwstr>
  </property>
</Properties>
</file>