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"/>
        <w:rPr>
          <w:rFonts w:ascii="Times New Roman"/>
          <w:sz w:val="21"/>
        </w:rPr>
      </w:pPr>
    </w:p>
    <w:p>
      <w:pPr>
        <w:spacing w:before="0" w:line="535" w:lineRule="exact"/>
        <w:ind w:left="2994" w:right="2995" w:firstLine="0"/>
        <w:jc w:val="center"/>
        <w:rPr>
          <w:rFonts w:hint="eastAsia" w:ascii="Arial Unicode MS" w:eastAsia="Arial Unicode MS"/>
          <w:sz w:val="36"/>
        </w:rPr>
      </w:pPr>
      <w:r>
        <w:rPr>
          <w:rFonts w:hint="eastAsia" w:ascii="Arial Unicode MS" w:eastAsia="Arial Unicode MS"/>
          <w:color w:val="000007"/>
          <w:sz w:val="36"/>
        </w:rPr>
        <w:t>政务诚信承诺书</w:t>
      </w:r>
    </w:p>
    <w:tbl>
      <w:tblPr>
        <w:tblStyle w:val="4"/>
        <w:tblpPr w:leftFromText="180" w:rightFromText="180" w:vertAnchor="text" w:horzAnchor="page" w:tblpX="1093" w:tblpY="9759"/>
        <w:tblOverlap w:val="never"/>
        <w:tblW w:w="90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7"/>
        <w:gridCol w:w="71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887" w:type="dxa"/>
          </w:tcPr>
          <w:p>
            <w:pPr>
              <w:pStyle w:val="7"/>
              <w:spacing w:before="97"/>
              <w:ind w:left="148"/>
              <w:rPr>
                <w:rFonts w:ascii="Times New Roman"/>
                <w:sz w:val="28"/>
              </w:rPr>
            </w:pPr>
            <w:r>
              <w:rPr>
                <w:color w:val="000007"/>
                <w:sz w:val="28"/>
              </w:rPr>
              <w:t>投诉举报邮箱</w:t>
            </w:r>
          </w:p>
        </w:tc>
        <w:tc>
          <w:tcPr>
            <w:tcW w:w="7148" w:type="dxa"/>
          </w:tcPr>
          <w:p>
            <w:pPr>
              <w:pStyle w:val="7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87" w:type="dxa"/>
          </w:tcPr>
          <w:p>
            <w:pPr>
              <w:pStyle w:val="7"/>
              <w:spacing w:before="98"/>
              <w:ind w:left="148"/>
              <w:rPr>
                <w:sz w:val="28"/>
              </w:rPr>
            </w:pPr>
            <w:r>
              <w:rPr>
                <w:color w:val="000007"/>
                <w:sz w:val="28"/>
              </w:rPr>
              <w:t>公示网站网址</w:t>
            </w:r>
          </w:p>
        </w:tc>
        <w:tc>
          <w:tcPr>
            <w:tcW w:w="7148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87" w:type="dxa"/>
          </w:tcPr>
          <w:p>
            <w:pPr>
              <w:pStyle w:val="7"/>
              <w:spacing w:before="193"/>
              <w:ind w:left="568"/>
              <w:rPr>
                <w:sz w:val="28"/>
              </w:rPr>
            </w:pPr>
            <w:r>
              <w:rPr>
                <w:color w:val="000007"/>
                <w:sz w:val="28"/>
              </w:rPr>
              <w:t>签发人</w:t>
            </w:r>
          </w:p>
        </w:tc>
        <w:tc>
          <w:tcPr>
            <w:tcW w:w="7148" w:type="dxa"/>
          </w:tcPr>
          <w:p>
            <w:pPr>
              <w:pStyle w:val="7"/>
              <w:spacing w:before="3"/>
              <w:rPr>
                <w:sz w:val="23"/>
              </w:rPr>
            </w:pPr>
          </w:p>
          <w:p>
            <w:pPr>
              <w:pStyle w:val="7"/>
              <w:tabs>
                <w:tab w:val="left" w:pos="2457"/>
              </w:tabs>
              <w:spacing w:line="412" w:lineRule="exact"/>
              <w:ind w:left="108"/>
              <w:rPr>
                <w:rFonts w:ascii="Times New Roman"/>
                <w:sz w:val="28"/>
              </w:rPr>
            </w:pPr>
            <w:r>
              <w:rPr>
                <w:rFonts w:hint="eastAsia"/>
                <w:color w:val="000007"/>
                <w:sz w:val="28"/>
                <w:lang w:eastAsia="zh-CN"/>
              </w:rPr>
              <w:t>张伟</w:t>
            </w:r>
            <w:r>
              <w:rPr>
                <w:color w:val="000007"/>
                <w:sz w:val="28"/>
              </w:rPr>
              <w:tab/>
            </w:r>
            <w:r>
              <w:rPr>
                <w:rFonts w:ascii="Arial" w:eastAsia="Arial"/>
                <w:color w:val="000007"/>
                <w:sz w:val="28"/>
              </w:rPr>
              <w:t xml:space="preserve">2020 </w:t>
            </w:r>
            <w:r>
              <w:rPr>
                <w:color w:val="000007"/>
                <w:sz w:val="28"/>
              </w:rPr>
              <w:t xml:space="preserve">年 </w:t>
            </w:r>
            <w:r>
              <w:rPr>
                <w:rFonts w:hint="eastAsia" w:ascii="Arial" w:eastAsia="宋体"/>
                <w:color w:val="000007"/>
                <w:sz w:val="28"/>
                <w:lang w:val="en-US" w:eastAsia="zh-CN"/>
              </w:rPr>
              <w:t>12</w:t>
            </w:r>
            <w:r>
              <w:rPr>
                <w:color w:val="000007"/>
                <w:sz w:val="28"/>
              </w:rPr>
              <w:t xml:space="preserve">月 </w:t>
            </w:r>
            <w:r>
              <w:rPr>
                <w:rFonts w:hint="eastAsia" w:ascii="Arial" w:eastAsia="宋体"/>
                <w:color w:val="000007"/>
                <w:sz w:val="28"/>
                <w:lang w:val="en-US" w:eastAsia="zh-CN"/>
              </w:rPr>
              <w:t>1</w:t>
            </w:r>
            <w:r>
              <w:rPr>
                <w:rFonts w:ascii="Arial" w:eastAsia="Arial"/>
                <w:color w:val="000007"/>
                <w:spacing w:val="21"/>
                <w:sz w:val="28"/>
              </w:rPr>
              <w:t xml:space="preserve"> </w:t>
            </w:r>
            <w:r>
              <w:rPr>
                <w:color w:val="000007"/>
                <w:sz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887" w:type="dxa"/>
          </w:tcPr>
          <w:p>
            <w:pPr>
              <w:pStyle w:val="7"/>
              <w:tabs>
                <w:tab w:val="left" w:pos="1116"/>
              </w:tabs>
              <w:spacing w:before="96"/>
              <w:ind w:left="585"/>
              <w:rPr>
                <w:sz w:val="28"/>
              </w:rPr>
            </w:pPr>
            <w:r>
              <w:rPr>
                <w:color w:val="000007"/>
                <w:sz w:val="28"/>
              </w:rPr>
              <w:t>备</w:t>
            </w:r>
            <w:r>
              <w:rPr>
                <w:color w:val="000007"/>
                <w:sz w:val="28"/>
              </w:rPr>
              <w:tab/>
            </w:r>
            <w:r>
              <w:rPr>
                <w:color w:val="000007"/>
                <w:sz w:val="28"/>
              </w:rPr>
              <w:t>注</w:t>
            </w:r>
          </w:p>
        </w:tc>
        <w:tc>
          <w:tcPr>
            <w:tcW w:w="7148" w:type="dxa"/>
          </w:tcPr>
          <w:p>
            <w:pPr>
              <w:pStyle w:val="7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87" w:type="dxa"/>
          </w:tcPr>
          <w:p>
            <w:pPr>
              <w:pStyle w:val="7"/>
              <w:tabs>
                <w:tab w:val="left" w:pos="1116"/>
              </w:tabs>
              <w:spacing w:before="96"/>
              <w:ind w:left="585"/>
              <w:rPr>
                <w:sz w:val="28"/>
              </w:rPr>
            </w:pPr>
          </w:p>
        </w:tc>
        <w:tc>
          <w:tcPr>
            <w:tcW w:w="7148" w:type="dxa"/>
          </w:tcPr>
          <w:p>
            <w:pPr>
              <w:pStyle w:val="7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tabs>
          <w:tab w:val="left" w:pos="4737"/>
        </w:tabs>
        <w:spacing w:line="466" w:lineRule="exact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page">
                  <wp:posOffset>693420</wp:posOffset>
                </wp:positionH>
                <wp:positionV relativeFrom="page">
                  <wp:posOffset>1861820</wp:posOffset>
                </wp:positionV>
                <wp:extent cx="5786120" cy="585025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6120" cy="5850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4"/>
                              <w:tblW w:w="9007" w:type="dxa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85"/>
                              <w:gridCol w:w="1395"/>
                              <w:gridCol w:w="564"/>
                              <w:gridCol w:w="2519"/>
                              <w:gridCol w:w="1410"/>
                              <w:gridCol w:w="2534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0" w:hRule="atLeast"/>
                              </w:trPr>
                              <w:tc>
                                <w:tcPr>
                                  <w:tcW w:w="198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96"/>
                                    <w:ind w:left="42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单位名称</w:t>
                                  </w:r>
                                </w:p>
                              </w:tc>
                              <w:tc>
                                <w:tcPr>
                                  <w:tcW w:w="7027" w:type="dxa"/>
                                  <w:gridSpan w:val="4"/>
                                </w:tcPr>
                                <w:p>
                                  <w:pPr>
                                    <w:pStyle w:val="7"/>
                                    <w:spacing w:before="96"/>
                                    <w:ind w:left="107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国家税务总局西安市</w:t>
                                  </w: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  <w:lang w:eastAsia="zh-CN"/>
                                    </w:rPr>
                                    <w:t>莲湖区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税务局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0" w:hRule="atLeast"/>
                              </w:trPr>
                              <w:tc>
                                <w:tcPr>
                                  <w:tcW w:w="2544" w:type="dxa"/>
                                  <w:gridSpan w:val="3"/>
                                </w:tcPr>
                                <w:p>
                                  <w:pPr>
                                    <w:pStyle w:val="7"/>
                                    <w:spacing w:before="98"/>
                                    <w:ind w:left="15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统一社会信用代码</w:t>
                                  </w:r>
                                </w:p>
                              </w:tc>
                              <w:tc>
                                <w:tcPr>
                                  <w:tcW w:w="6463" w:type="dxa"/>
                                  <w:gridSpan w:val="3"/>
                                </w:tcPr>
                                <w:p>
                                  <w:pPr>
                                    <w:pStyle w:val="7"/>
                                    <w:spacing w:before="132"/>
                                    <w:ind w:left="1648"/>
                                    <w:rPr>
                                      <w:rFonts w:hint="eastAsia" w:ascii="Arial" w:eastAsia="华文宋体"/>
                                      <w:sz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Arial"/>
                                      <w:sz w:val="28"/>
                                      <w:lang w:val="en-US" w:eastAsia="zh-CN"/>
                                    </w:rPr>
                                    <w:t>11610104013353278B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812" w:hRule="atLeast"/>
                              </w:trPr>
                              <w:tc>
                                <w:tcPr>
                                  <w:tcW w:w="198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92"/>
                                    <w:ind w:left="29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法定代表人</w:t>
                                  </w:r>
                                </w:p>
                              </w:tc>
                              <w:tc>
                                <w:tcPr>
                                  <w:tcW w:w="3083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92"/>
                                    <w:ind w:left="1101" w:right="1092"/>
                                    <w:jc w:val="center"/>
                                    <w:rPr>
                                      <w:rFonts w:hint="eastAsia" w:eastAsia="华文宋体"/>
                                      <w:sz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  <w:lang w:eastAsia="zh-CN"/>
                                    </w:rPr>
                                    <w:t>张伟</w:t>
                                  </w:r>
                                </w:p>
                              </w:tc>
                              <w:tc>
                                <w:tcPr>
                                  <w:tcW w:w="1410" w:type="dxa"/>
                                </w:tcPr>
                                <w:p>
                                  <w:pPr>
                                    <w:pStyle w:val="7"/>
                                    <w:spacing w:before="192"/>
                                    <w:ind w:left="14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监督电话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>
                                  <w:pPr>
                                    <w:pStyle w:val="7"/>
                                    <w:spacing w:before="25"/>
                                    <w:ind w:left="284" w:right="270"/>
                                    <w:jc w:val="center"/>
                                    <w:rPr>
                                      <w:rFonts w:ascii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color w:val="000007"/>
                                      <w:spacing w:val="-1"/>
                                      <w:w w:val="87"/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/>
                                      <w:color w:val="000007"/>
                                      <w:spacing w:val="-1"/>
                                      <w:w w:val="89"/>
                                      <w:sz w:val="28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/>
                                      <w:color w:val="000007"/>
                                      <w:spacing w:val="-1"/>
                                      <w:w w:val="85"/>
                                      <w:sz w:val="28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Arial"/>
                                      <w:color w:val="000007"/>
                                      <w:w w:val="194"/>
                                      <w:sz w:val="28"/>
                                    </w:rPr>
                                    <w:t>-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84"/>
                                    <w:ind w:left="284" w:right="272"/>
                                    <w:jc w:val="center"/>
                                    <w:rPr>
                                      <w:rFonts w:hint="eastAsia" w:ascii="Arial" w:eastAsia="华文宋体"/>
                                      <w:sz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Arial"/>
                                      <w:sz w:val="28"/>
                                      <w:lang w:val="en-US" w:eastAsia="zh-CN"/>
                                    </w:rPr>
                                    <w:t>88611641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231" w:hRule="atLeast"/>
                              </w:trPr>
                              <w:tc>
                                <w:tcPr>
                                  <w:tcW w:w="585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8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9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" w:line="189" w:lineRule="auto"/>
                                    <w:ind w:left="151" w:right="140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承诺内容</w:t>
                                  </w:r>
                                </w:p>
                              </w:tc>
                              <w:tc>
                                <w:tcPr>
                                  <w:tcW w:w="8422" w:type="dxa"/>
                                  <w:gridSpan w:val="5"/>
                                </w:tcPr>
                                <w:p>
                                  <w:pPr>
                                    <w:pStyle w:val="7"/>
                                    <w:spacing w:before="34" w:line="240" w:lineRule="auto"/>
                                    <w:ind w:left="108" w:right="95" w:firstLine="559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为进一步优化税收营商环境，规范纳税服务行为，提高税务机关工作效能，促进社会诚信体系建设，国家税务总局西安市</w:t>
                                  </w: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  <w:lang w:eastAsia="zh-CN"/>
                                    </w:rPr>
                                    <w:t>莲湖区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税务局就政务诚信承诺如下：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left="108" w:right="95" w:firstLine="559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pacing w:val="8"/>
                                      <w:sz w:val="28"/>
                                      <w:lang w:eastAsia="zh-CN"/>
                                    </w:rPr>
                                    <w:t>一</w:t>
                                  </w:r>
                                  <w:r>
                                    <w:rPr>
                                      <w:color w:val="000007"/>
                                      <w:spacing w:val="8"/>
                                      <w:sz w:val="28"/>
                                    </w:rPr>
                                    <w:t>、优化纳税服务体验。严格按照《纳税服务规范》落</w:t>
                                  </w:r>
                                  <w:r>
                                    <w:rPr>
                                      <w:color w:val="000007"/>
                                      <w:spacing w:val="14"/>
                                      <w:sz w:val="28"/>
                                    </w:rPr>
                                    <w:t>实涉税事项即时办结、限时办结。为新办纳税人提供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pacing w:val="16"/>
                                      <w:sz w:val="28"/>
                                    </w:rPr>
                                    <w:t>“</w:t>
                                  </w:r>
                                  <w:r>
                                    <w:rPr>
                                      <w:color w:val="000007"/>
                                      <w:spacing w:val="7"/>
                                      <w:sz w:val="28"/>
                                    </w:rPr>
                                    <w:t>套餐式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pacing w:val="4"/>
                                      <w:sz w:val="28"/>
                                    </w:rPr>
                                    <w:t>”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服务</w:t>
                                  </w:r>
                                  <w:r>
                                    <w:rPr>
                                      <w:color w:val="000007"/>
                                      <w:spacing w:val="-2"/>
                                      <w:sz w:val="28"/>
                                    </w:rPr>
                                    <w:t xml:space="preserve">。工作人员实行 </w:t>
                                  </w:r>
                                  <w:r>
                                    <w:rPr>
                                      <w:rFonts w:ascii="Arial" w:hAnsi="Arial" w:eastAsia="Arial"/>
                                      <w:color w:val="000007"/>
                                      <w:sz w:val="28"/>
                                    </w:rPr>
                                    <w:t>AB</w:t>
                                  </w:r>
                                  <w:r>
                                    <w:rPr>
                                      <w:rFonts w:ascii="Arial" w:hAnsi="Arial" w:eastAsia="Arial"/>
                                      <w:color w:val="000007"/>
                                      <w:spacing w:val="-2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岗制，做到服务不缺位、</w:t>
                                  </w:r>
                                  <w:r>
                                    <w:rPr>
                                      <w:color w:val="000007"/>
                                      <w:spacing w:val="-3"/>
                                      <w:sz w:val="28"/>
                                    </w:rPr>
                                    <w:t>不懈怠、不延误。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left="108" w:right="95" w:firstLine="559"/>
                                    <w:jc w:val="both"/>
                                    <w:rPr>
                                      <w:color w:val="000007"/>
                                      <w:spacing w:val="6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pacing w:val="8"/>
                                      <w:sz w:val="28"/>
                                      <w:lang w:eastAsia="zh-CN"/>
                                    </w:rPr>
                                    <w:t>二</w:t>
                                  </w:r>
                                  <w:r>
                                    <w:rPr>
                                      <w:color w:val="000007"/>
                                      <w:spacing w:val="8"/>
                                      <w:sz w:val="28"/>
                                    </w:rPr>
                                    <w:t>、大力推行政务公开。配套完善导税台、公告栏、显</w:t>
                                  </w:r>
                                  <w:r>
                                    <w:rPr>
                                      <w:color w:val="000007"/>
                                      <w:spacing w:val="9"/>
                                      <w:sz w:val="28"/>
                                    </w:rPr>
                                    <w:t>示屏和纳税服务热线建设，定期开设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pacing w:val="9"/>
                                      <w:sz w:val="28"/>
                                    </w:rPr>
                                    <w:t>“</w:t>
                                  </w:r>
                                  <w:r>
                                    <w:rPr>
                                      <w:color w:val="000007"/>
                                      <w:spacing w:val="9"/>
                                      <w:sz w:val="28"/>
                                    </w:rPr>
                                    <w:t>纳税人学堂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pacing w:val="10"/>
                                      <w:sz w:val="28"/>
                                    </w:rPr>
                                    <w:t>”</w:t>
                                  </w:r>
                                  <w:r>
                                    <w:rPr>
                                      <w:color w:val="000007"/>
                                      <w:spacing w:val="6"/>
                                      <w:sz w:val="28"/>
                                    </w:rPr>
                                    <w:t>，全面向纳税人、缴费人进行政策宣传辅导。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left="108" w:right="95" w:firstLine="559"/>
                                    <w:jc w:val="both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pacing w:val="8"/>
                                      <w:sz w:val="28"/>
                                      <w:lang w:eastAsia="zh-CN"/>
                                    </w:rPr>
                                    <w:t>三</w:t>
                                  </w:r>
                                  <w:r>
                                    <w:rPr>
                                      <w:color w:val="000007"/>
                                      <w:spacing w:val="8"/>
                                      <w:sz w:val="28"/>
                                    </w:rPr>
                                    <w:t>、坚决查处违规行为。税务干部将严格遵守廉洁自律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的各项规定，严禁利用税收执法权谋取不正当利益，对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pacing w:val="4"/>
                                      <w:sz w:val="28"/>
                                    </w:rPr>
                                    <w:t>“</w:t>
                                  </w:r>
                                  <w:r>
                                    <w:rPr>
                                      <w:color w:val="000007"/>
                                      <w:spacing w:val="2"/>
                                      <w:sz w:val="28"/>
                                    </w:rPr>
                                    <w:t>吃、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left="108"/>
                                    <w:rPr>
                                      <w:rFonts w:hint="eastAsia"/>
                                      <w:color w:val="000007"/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拿、卡、要、报、借</w:t>
                                  </w:r>
                                  <w:r>
                                    <w:rPr>
                                      <w:rFonts w:ascii="Times New Roman" w:hAnsi="Times New Roman" w:eastAsia="Times New Roman"/>
                                      <w:color w:val="000007"/>
                                      <w:sz w:val="28"/>
                                    </w:rPr>
                                    <w:t>”</w:t>
                                  </w:r>
                                  <w:r>
                                    <w:rPr>
                                      <w:color w:val="000007"/>
                                      <w:sz w:val="28"/>
                                    </w:rPr>
                                    <w:t>等各类违法违纪行为，一经查实，严肃</w:t>
                                  </w: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</w:rPr>
                                    <w:t>处理。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left="108"/>
                                    <w:rPr>
                                      <w:rFonts w:hint="eastAsia" w:eastAsia="华文宋体"/>
                                      <w:color w:val="000007"/>
                                      <w:sz w:val="28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  <w:lang w:val="en-US" w:eastAsia="zh-CN"/>
                                    </w:rPr>
                                    <w:t xml:space="preserve">    四、纳税信用等级管理。按照税总发2014第40号公告第二十七条：税务机关对纳税信用评价结果，按照分级分类原则，依法有序开放。</w:t>
                                  </w:r>
                                </w:p>
                                <w:p>
                                  <w:pPr>
                                    <w:pStyle w:val="7"/>
                                    <w:spacing w:line="240" w:lineRule="auto"/>
                                    <w:ind w:firstLine="560" w:firstLineChars="2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7"/>
                                      <w:sz w:val="28"/>
                                    </w:rPr>
                                    <w:t>欢迎广大纳税人、缴费人和社会各界人士监督！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54.6pt;margin-top:146.6pt;height:460.65pt;width:455.6pt;mso-position-horizontal-relative:page;mso-position-vertical-relative:page;z-index:1024;mso-width-relative:page;mso-height-relative:page;" filled="f" stroked="f" coordsize="21600,21600" o:gfxdata="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AcMxkfZAAAADQEA&#10;AA8AAAAAAAAAAQAgAAAAIgAAAGRycy9kb3ducmV2LnhtbFBLAQIUABQAAAAIAIdO4kCH2KdrpwEA&#10;AC4DAAAOAAAAAAAAAAEAIAAAACgBAABkcnMvZTJvRG9jLnhtbFBLBQYAAAAABgAGAFkBAABBBQAA&#10;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4"/>
                        <w:tblW w:w="9007" w:type="dxa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85"/>
                        <w:gridCol w:w="1395"/>
                        <w:gridCol w:w="564"/>
                        <w:gridCol w:w="2519"/>
                        <w:gridCol w:w="1410"/>
                        <w:gridCol w:w="2534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0" w:hRule="atLeast"/>
                        </w:trPr>
                        <w:tc>
                          <w:tcPr>
                            <w:tcW w:w="1980" w:type="dxa"/>
                            <w:gridSpan w:val="2"/>
                          </w:tcPr>
                          <w:p>
                            <w:pPr>
                              <w:pStyle w:val="7"/>
                              <w:spacing w:before="96"/>
                              <w:ind w:left="429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单位名称</w:t>
                            </w:r>
                          </w:p>
                        </w:tc>
                        <w:tc>
                          <w:tcPr>
                            <w:tcW w:w="7027" w:type="dxa"/>
                            <w:gridSpan w:val="4"/>
                          </w:tcPr>
                          <w:p>
                            <w:pPr>
                              <w:pStyle w:val="7"/>
                              <w:spacing w:before="96"/>
                              <w:ind w:left="1070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国家税务总局西安市</w:t>
                            </w:r>
                            <w:r>
                              <w:rPr>
                                <w:rFonts w:hint="eastAsia"/>
                                <w:color w:val="000007"/>
                                <w:sz w:val="28"/>
                                <w:lang w:eastAsia="zh-CN"/>
                              </w:rPr>
                              <w:t>莲湖区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税务局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0" w:hRule="atLeast"/>
                        </w:trPr>
                        <w:tc>
                          <w:tcPr>
                            <w:tcW w:w="2544" w:type="dxa"/>
                            <w:gridSpan w:val="3"/>
                          </w:tcPr>
                          <w:p>
                            <w:pPr>
                              <w:pStyle w:val="7"/>
                              <w:spacing w:before="98"/>
                              <w:ind w:left="151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统一社会信用代码</w:t>
                            </w:r>
                          </w:p>
                        </w:tc>
                        <w:tc>
                          <w:tcPr>
                            <w:tcW w:w="6463" w:type="dxa"/>
                            <w:gridSpan w:val="3"/>
                          </w:tcPr>
                          <w:p>
                            <w:pPr>
                              <w:pStyle w:val="7"/>
                              <w:spacing w:before="132"/>
                              <w:ind w:left="1648"/>
                              <w:rPr>
                                <w:rFonts w:hint="eastAsia" w:ascii="Arial" w:eastAsia="华文宋体"/>
                                <w:sz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Arial"/>
                                <w:sz w:val="28"/>
                                <w:lang w:val="en-US" w:eastAsia="zh-CN"/>
                              </w:rPr>
                              <w:t>11610104013353278B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812" w:hRule="atLeast"/>
                        </w:trPr>
                        <w:tc>
                          <w:tcPr>
                            <w:tcW w:w="1980" w:type="dxa"/>
                            <w:gridSpan w:val="2"/>
                          </w:tcPr>
                          <w:p>
                            <w:pPr>
                              <w:pStyle w:val="7"/>
                              <w:spacing w:before="192"/>
                              <w:ind w:left="290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法定代表人</w:t>
                            </w:r>
                          </w:p>
                        </w:tc>
                        <w:tc>
                          <w:tcPr>
                            <w:tcW w:w="3083" w:type="dxa"/>
                            <w:gridSpan w:val="2"/>
                          </w:tcPr>
                          <w:p>
                            <w:pPr>
                              <w:pStyle w:val="7"/>
                              <w:spacing w:before="192"/>
                              <w:ind w:left="1101" w:right="1092"/>
                              <w:jc w:val="center"/>
                              <w:rPr>
                                <w:rFonts w:hint="eastAsia" w:eastAsia="华文宋体"/>
                                <w:sz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z w:val="28"/>
                                <w:lang w:eastAsia="zh-CN"/>
                              </w:rPr>
                              <w:t>张伟</w:t>
                            </w:r>
                          </w:p>
                        </w:tc>
                        <w:tc>
                          <w:tcPr>
                            <w:tcW w:w="1410" w:type="dxa"/>
                          </w:tcPr>
                          <w:p>
                            <w:pPr>
                              <w:pStyle w:val="7"/>
                              <w:spacing w:before="192"/>
                              <w:ind w:left="145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监督电话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>
                            <w:pPr>
                              <w:pStyle w:val="7"/>
                              <w:spacing w:before="25"/>
                              <w:ind w:left="284" w:right="270"/>
                              <w:jc w:val="center"/>
                              <w:rPr>
                                <w:rFonts w:ascii="Arial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color w:val="000007"/>
                                <w:spacing w:val="-1"/>
                                <w:w w:val="87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Arial"/>
                                <w:color w:val="000007"/>
                                <w:spacing w:val="-1"/>
                                <w:w w:val="89"/>
                                <w:sz w:val="28"/>
                              </w:rPr>
                              <w:t>2</w:t>
                            </w:r>
                            <w:r>
                              <w:rPr>
                                <w:rFonts w:ascii="Arial"/>
                                <w:color w:val="000007"/>
                                <w:spacing w:val="-1"/>
                                <w:w w:val="85"/>
                                <w:sz w:val="28"/>
                              </w:rPr>
                              <w:t>9</w:t>
                            </w:r>
                            <w:r>
                              <w:rPr>
                                <w:rFonts w:ascii="Arial"/>
                                <w:color w:val="000007"/>
                                <w:w w:val="194"/>
                                <w:sz w:val="28"/>
                              </w:rPr>
                              <w:t>-</w:t>
                            </w:r>
                          </w:p>
                          <w:p>
                            <w:pPr>
                              <w:pStyle w:val="7"/>
                              <w:spacing w:before="84"/>
                              <w:ind w:left="284" w:right="272"/>
                              <w:jc w:val="center"/>
                              <w:rPr>
                                <w:rFonts w:hint="eastAsia" w:ascii="Arial" w:eastAsia="华文宋体"/>
                                <w:sz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Arial"/>
                                <w:sz w:val="28"/>
                                <w:lang w:val="en-US" w:eastAsia="zh-CN"/>
                              </w:rPr>
                              <w:t>88611641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231" w:hRule="atLeast"/>
                        </w:trPr>
                        <w:tc>
                          <w:tcPr>
                            <w:tcW w:w="585" w:type="dxa"/>
                          </w:tcPr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8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9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" w:line="189" w:lineRule="auto"/>
                              <w:ind w:left="151" w:right="140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承诺内容</w:t>
                            </w:r>
                          </w:p>
                        </w:tc>
                        <w:tc>
                          <w:tcPr>
                            <w:tcW w:w="8422" w:type="dxa"/>
                            <w:gridSpan w:val="5"/>
                          </w:tcPr>
                          <w:p>
                            <w:pPr>
                              <w:pStyle w:val="7"/>
                              <w:spacing w:before="34" w:line="240" w:lineRule="auto"/>
                              <w:ind w:left="108" w:right="95" w:firstLine="559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为进一步优化税收营商环境，规范纳税服务行为，提高税务机关工作效能，促进社会诚信体系建设，国家税务总局西安市</w:t>
                            </w:r>
                            <w:r>
                              <w:rPr>
                                <w:rFonts w:hint="eastAsia"/>
                                <w:color w:val="000007"/>
                                <w:sz w:val="28"/>
                                <w:lang w:eastAsia="zh-CN"/>
                              </w:rPr>
                              <w:t>莲湖区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税务局就政务诚信承诺如下：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left="108" w:right="95" w:firstLine="559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pacing w:val="8"/>
                                <w:sz w:val="28"/>
                                <w:lang w:eastAsia="zh-CN"/>
                              </w:rPr>
                              <w:t>一</w:t>
                            </w:r>
                            <w:r>
                              <w:rPr>
                                <w:color w:val="000007"/>
                                <w:spacing w:val="8"/>
                                <w:sz w:val="28"/>
                              </w:rPr>
                              <w:t>、优化纳税服务体验。严格按照《纳税服务规范》落</w:t>
                            </w:r>
                            <w:r>
                              <w:rPr>
                                <w:color w:val="000007"/>
                                <w:spacing w:val="14"/>
                                <w:sz w:val="28"/>
                              </w:rPr>
                              <w:t>实涉税事项即时办结、限时办结。为新办纳税人提供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pacing w:val="16"/>
                                <w:sz w:val="28"/>
                              </w:rPr>
                              <w:t>“</w:t>
                            </w:r>
                            <w:r>
                              <w:rPr>
                                <w:color w:val="000007"/>
                                <w:spacing w:val="7"/>
                                <w:sz w:val="28"/>
                              </w:rPr>
                              <w:t>套餐式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pacing w:val="4"/>
                                <w:sz w:val="28"/>
                              </w:rPr>
                              <w:t>”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服务</w:t>
                            </w:r>
                            <w:r>
                              <w:rPr>
                                <w:color w:val="000007"/>
                                <w:spacing w:val="-2"/>
                                <w:sz w:val="28"/>
                              </w:rPr>
                              <w:t xml:space="preserve">。工作人员实行 </w:t>
                            </w:r>
                            <w:r>
                              <w:rPr>
                                <w:rFonts w:ascii="Arial" w:hAnsi="Arial" w:eastAsia="Arial"/>
                                <w:color w:val="000007"/>
                                <w:sz w:val="28"/>
                              </w:rPr>
                              <w:t>AB</w:t>
                            </w:r>
                            <w:r>
                              <w:rPr>
                                <w:rFonts w:ascii="Arial" w:hAnsi="Arial" w:eastAsia="Arial"/>
                                <w:color w:val="000007"/>
                                <w:spacing w:val="-2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岗制，做到服务不缺位、</w:t>
                            </w:r>
                            <w:r>
                              <w:rPr>
                                <w:color w:val="000007"/>
                                <w:spacing w:val="-3"/>
                                <w:sz w:val="28"/>
                              </w:rPr>
                              <w:t>不懈怠、不延误。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left="108" w:right="95" w:firstLine="559"/>
                              <w:jc w:val="both"/>
                              <w:rPr>
                                <w:color w:val="000007"/>
                                <w:spacing w:val="6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pacing w:val="8"/>
                                <w:sz w:val="28"/>
                                <w:lang w:eastAsia="zh-CN"/>
                              </w:rPr>
                              <w:t>二</w:t>
                            </w:r>
                            <w:r>
                              <w:rPr>
                                <w:color w:val="000007"/>
                                <w:spacing w:val="8"/>
                                <w:sz w:val="28"/>
                              </w:rPr>
                              <w:t>、大力推行政务公开。配套完善导税台、公告栏、显</w:t>
                            </w:r>
                            <w:r>
                              <w:rPr>
                                <w:color w:val="000007"/>
                                <w:spacing w:val="9"/>
                                <w:sz w:val="28"/>
                              </w:rPr>
                              <w:t>示屏和纳税服务热线建设，定期开设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pacing w:val="9"/>
                                <w:sz w:val="28"/>
                              </w:rPr>
                              <w:t>“</w:t>
                            </w:r>
                            <w:r>
                              <w:rPr>
                                <w:color w:val="000007"/>
                                <w:spacing w:val="9"/>
                                <w:sz w:val="28"/>
                              </w:rPr>
                              <w:t>纳税人学堂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pacing w:val="10"/>
                                <w:sz w:val="28"/>
                              </w:rPr>
                              <w:t>”</w:t>
                            </w:r>
                            <w:r>
                              <w:rPr>
                                <w:color w:val="000007"/>
                                <w:spacing w:val="6"/>
                                <w:sz w:val="28"/>
                              </w:rPr>
                              <w:t>，全面向纳税人、缴费人进行政策宣传辅导。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left="108" w:right="95" w:firstLine="559"/>
                              <w:jc w:val="both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pacing w:val="8"/>
                                <w:sz w:val="28"/>
                                <w:lang w:eastAsia="zh-CN"/>
                              </w:rPr>
                              <w:t>三</w:t>
                            </w:r>
                            <w:r>
                              <w:rPr>
                                <w:color w:val="000007"/>
                                <w:spacing w:val="8"/>
                                <w:sz w:val="28"/>
                              </w:rPr>
                              <w:t>、坚决查处违规行为。税务干部将严格遵守廉洁自律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的各项规定，严禁利用税收执法权谋取不正当利益，对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pacing w:val="4"/>
                                <w:sz w:val="28"/>
                              </w:rPr>
                              <w:t>“</w:t>
                            </w:r>
                            <w:r>
                              <w:rPr>
                                <w:color w:val="000007"/>
                                <w:spacing w:val="2"/>
                                <w:sz w:val="28"/>
                              </w:rPr>
                              <w:t>吃、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left="108"/>
                              <w:rPr>
                                <w:rFonts w:hint="eastAsia"/>
                                <w:color w:val="000007"/>
                                <w:sz w:val="28"/>
                              </w:rPr>
                            </w:pPr>
                            <w:r>
                              <w:rPr>
                                <w:color w:val="000007"/>
                                <w:sz w:val="28"/>
                              </w:rPr>
                              <w:t>拿、卡、要、报、借</w:t>
                            </w:r>
                            <w:r>
                              <w:rPr>
                                <w:rFonts w:ascii="Times New Roman" w:hAnsi="Times New Roman" w:eastAsia="Times New Roman"/>
                                <w:color w:val="000007"/>
                                <w:sz w:val="28"/>
                              </w:rPr>
                              <w:t>”</w:t>
                            </w:r>
                            <w:r>
                              <w:rPr>
                                <w:color w:val="000007"/>
                                <w:sz w:val="28"/>
                              </w:rPr>
                              <w:t>等各类违法违纪行为，一经查实，严肃</w:t>
                            </w:r>
                            <w:r>
                              <w:rPr>
                                <w:rFonts w:hint="eastAsia"/>
                                <w:color w:val="000007"/>
                                <w:sz w:val="28"/>
                              </w:rPr>
                              <w:t>处理。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left="108"/>
                              <w:rPr>
                                <w:rFonts w:hint="eastAsia" w:eastAsia="华文宋体"/>
                                <w:color w:val="000007"/>
                                <w:sz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z w:val="28"/>
                                <w:lang w:val="en-US" w:eastAsia="zh-CN"/>
                              </w:rPr>
                              <w:t xml:space="preserve">    四、纳税信用等级管理。按照税总发2014第40号公告第二十七条：税务机关对纳税信用评价结果，按照分级分类原则，依法有序开放。</w:t>
                            </w:r>
                          </w:p>
                          <w:p>
                            <w:pPr>
                              <w:pStyle w:val="7"/>
                              <w:spacing w:line="240" w:lineRule="auto"/>
                              <w:ind w:firstLine="560" w:firstLineChars="200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color w:val="000007"/>
                                <w:sz w:val="28"/>
                              </w:rPr>
                              <w:t>欢迎广大纳税人、缴费人和社会各界人士监督！</w:t>
                            </w:r>
                          </w:p>
                        </w:tc>
                      </w:tr>
                    </w:tbl>
                    <w:p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000007"/>
        </w:rPr>
        <w:t>承诺编号</w:t>
      </w:r>
      <w:r>
        <w:rPr>
          <w:rFonts w:hint="eastAsia"/>
          <w:color w:val="000007"/>
          <w:lang w:eastAsia="zh-CN"/>
        </w:rPr>
        <w:t>：</w:t>
      </w:r>
      <w:r>
        <w:rPr>
          <w:rFonts w:hint="eastAsia"/>
          <w:color w:val="000007"/>
          <w:lang w:val="en-US" w:eastAsia="zh-CN"/>
        </w:rPr>
        <w:t xml:space="preserve">             </w:t>
      </w:r>
      <w:r>
        <w:rPr>
          <w:color w:val="000007"/>
        </w:rPr>
        <w:t>行政区划代码：</w:t>
      </w:r>
    </w:p>
    <w:p>
      <w:pPr>
        <w:spacing w:after="0" w:line="466" w:lineRule="exact"/>
        <w:sectPr>
          <w:type w:val="continuous"/>
          <w:pgSz w:w="11910" w:h="16840"/>
          <w:pgMar w:top="1580" w:right="1680" w:bottom="280" w:left="1680" w:header="720" w:footer="720" w:gutter="0"/>
        </w:sectPr>
      </w:pPr>
    </w:p>
    <w:p/>
    <w:sectPr>
      <w:pgSz w:w="11910" w:h="16840"/>
      <w:pgMar w:top="1420" w:right="1680" w:bottom="280" w:left="16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35098"/>
    <w:rsid w:val="10E76EC6"/>
    <w:rsid w:val="35746C53"/>
    <w:rsid w:val="556C4BB6"/>
    <w:rsid w:val="56E01AB0"/>
    <w:rsid w:val="5E034005"/>
    <w:rsid w:val="5EC86F70"/>
    <w:rsid w:val="684D5C58"/>
    <w:rsid w:val="694A4A2E"/>
    <w:rsid w:val="7D6E24BD"/>
    <w:rsid w:val="7D9F4A44"/>
    <w:rsid w:val="7E3974A2"/>
    <w:rsid w:val="7E9B2A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宋体" w:hAnsi="华文宋体" w:eastAsia="华文宋体" w:cs="华文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华文宋体" w:hAnsi="华文宋体" w:eastAsia="华文宋体" w:cs="华文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华文宋体" w:hAnsi="华文宋体" w:eastAsia="华文宋体" w:cs="华文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9DD2A3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2020-12-01T01:28:00Z</dcterms:created>
  <dc:creator>Administrator</dc:creator>
  <cp:lastModifiedBy>Administrator</cp:lastModifiedBy>
  <cp:lastPrinted>2020-12-01T07:20:00Z</cp:lastPrinted>
  <dcterms:modified xsi:type="dcterms:W3CDTF">2020-12-02T01:34:02Z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2020-12-01T00:00:00Z</vt:filetime>
  </property>
  <property fmtid="{D5CDD505-2E9C-101B-9397-08002B2CF9AE}" pid="5" name="KSOProductBuildVer">
    <vt:lpwstr>2052-10.1.0.7400</vt:lpwstr>
  </property>
</Properties>
</file>