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103"/>
        <w:gridCol w:w="1826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西安市莲湖区医疗保障局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11610104MB299183X7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2667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王永谋</w:t>
            </w:r>
          </w:p>
        </w:tc>
        <w:tc>
          <w:tcPr>
            <w:tcW w:w="1826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81501139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认真贯彻党和国家关于医疗保障事业发展的方针政策，切实履行医疗保障各项工作职责，全面提升人民群众就医看病的保障服务水平。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深入开展打击欺诈骗保维护基金安全各项治理行动，加强医疗保障基金监管制度，严肃处理定点医药机构违规问题，确保医保基金运行安全有效。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积极推行文明服务、微笑服务、优质服务，简化医保报销工作流程，精简报送资料，不断提升医疗保障服务质量水平。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严格遵守党风廉政建设和反腐斗争有关规定，严明工作纪律，持续改进作风，坚决做到忠于职守、廉洁勤政、高效服务。严肃责任追究，坚决杜绝违反医保政策规定的问题发生。</w:t>
            </w:r>
          </w:p>
          <w:p>
            <w:pPr>
              <w:numPr>
                <w:ilvl w:val="0"/>
                <w:numId w:val="1"/>
              </w:numPr>
              <w:ind w:left="280" w:leftChars="0" w:firstLine="0" w:firstLineChars="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建立健全守信激励和失信惩戒机制，强化监督检查守信力度，惩戒医疗保障工作失信人员，提高医疗保障管理守信水平。</w:t>
            </w:r>
          </w:p>
          <w:p>
            <w:pPr>
              <w:numPr>
                <w:numId w:val="0"/>
              </w:numPr>
              <w:ind w:firstLine="560" w:firstLineChars="200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以上承诺，热忱欢迎广大群众和社会各界监督评议。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lhyb2019@163.com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  <w:p>
            <w:pPr>
              <w:jc w:val="right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29524"/>
    <w:multiLevelType w:val="singleLevel"/>
    <w:tmpl w:val="42529524"/>
    <w:lvl w:ilvl="0" w:tentative="0">
      <w:start w:val="1"/>
      <w:numFmt w:val="chineseCounting"/>
      <w:suff w:val="nothing"/>
      <w:lvlText w:val="%1、"/>
      <w:lvlJc w:val="left"/>
      <w:pPr>
        <w:ind w:left="28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517D3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12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dcterms:modified xsi:type="dcterms:W3CDTF">2020-09-10T09:35:50Z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