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227"/>
        <w:gridCol w:w="1702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西安市莲湖区投资合作局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11610104MB2991805R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279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刘刚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87318690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推进政务公开，主动接受监督，通过区政府网、宣传栏等载体，及时公开招商引资工作职能和办事流程程序，畅通群众诉求渠道，完善来信来访处理机制，及时化解各类矛盾纠纷，做到“事事有回音、件件有着落”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简化办事程序，优化营商环境。提高服务水平，努力打造一流营商环境。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狠抓项目投资建设，提升城市形象。加快推进“十项重点工作”，持续提升群众幸福指数。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提升行业服务，进一步完善守信激励、加强行业综合监管工作，有效规范市场秩序，维护各行业市场健康有序发展。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坚持打防并举，切实推进廉洁从政，认真落实党风廉政建设主体责任，履行“一岗双责”，杜绝以权谋私、以岗谋私等违纪违规等问题的发生。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改进工作作风，塑造良好环境。坚决纠正“门难进、险难看、话难听、事难办”的衙门作风，对不作为、慢作为、乱作为等问题严肃问责，迫究负责人和相关领导的责任。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认真听取意见，诚信接受监督，让权利在阳光下运行，真心实意纳谏，有则改之，无则加勉，营造投资系统阳光向上的工作氛围。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1B9D3A"/>
    <w:multiLevelType w:val="singleLevel"/>
    <w:tmpl w:val="B71B9D3A"/>
    <w:lvl w:ilvl="0" w:tentative="0">
      <w:start w:val="1"/>
      <w:numFmt w:val="decimal"/>
      <w:suff w:val="nothing"/>
      <w:lvlText w:val="%1、"/>
      <w:lvlJc w:val="left"/>
      <w:pPr>
        <w:ind w:left="2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649F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15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dcterms:modified xsi:type="dcterms:W3CDTF">2020-08-31T09:58:39Z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