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ascii="仿宋_GB2312" w:hAnsi="Times New Roman" w:eastAsia="方正仿宋简体" w:cs="Times New Roman"/>
          <w:sz w:val="32"/>
          <w:szCs w:val="32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212"/>
        <w:gridCol w:w="1717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11610104MB2903473W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肖洪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 xml:space="preserve">  民政局婚姻登记处：一、依法办理承诺：符合法律法规和有关规定的及时办理。二、限时办结承诺：规范、高效、准时、负责。三、首问责任承诺：文明礼貌、主动热情、解答及时。</w:t>
            </w:r>
          </w:p>
          <w:p>
            <w:pPr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 xml:space="preserve">  民政局低保：一、全面落实低保评议听证制度，明确评议或听证小组成员范围和人数，完善评议、听证程序，确保评议听证不走过场。二、坚持“三榜三公示”，对初审、审核、审批结果都进行公示，设立永久性社会救助公示栏，公示时间每榜不少于7天，同时对低保对象、特困人员等进行长期公示，并在区政府门户网张对低保对象进行公示。三、加强对低保对象的动态管理，建立对低保对象进行年审和不定期的明察暗访制度，建立按月签到制度和有劳动能力低保对象的义务劳动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1DF0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11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Administrator</cp:lastModifiedBy>
  <dcterms:modified xsi:type="dcterms:W3CDTF">2020-08-31T10:41:58Z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