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6" w:lineRule="exact"/>
        <w:rPr>
          <w:rFonts w:ascii="黑体" w:hAnsi="黑体" w:eastAsia="黑体" w:cs="Times New Roman"/>
          <w:sz w:val="32"/>
          <w:szCs w:val="32"/>
        </w:rPr>
      </w:pPr>
    </w:p>
    <w:p>
      <w:pPr>
        <w:spacing w:line="576" w:lineRule="exact"/>
        <w:jc w:val="center"/>
        <w:rPr>
          <w:rFonts w:ascii="方正小标宋简体" w:hAnsi="Times New Roman" w:eastAsia="方正小标宋简体" w:cs="Times New Roman"/>
          <w:sz w:val="36"/>
          <w:szCs w:val="36"/>
        </w:rPr>
      </w:pPr>
      <w:r>
        <w:rPr>
          <w:rFonts w:hint="eastAsia" w:ascii="方正小标宋简体" w:hAnsi="Times New Roman" w:eastAsia="方正小标宋简体" w:cs="Times New Roman"/>
          <w:sz w:val="36"/>
          <w:szCs w:val="36"/>
        </w:rPr>
        <w:t>政务诚信承诺书</w:t>
      </w:r>
    </w:p>
    <w:p>
      <w:pPr>
        <w:ind w:firstLine="320" w:firstLineChars="100"/>
        <w:rPr>
          <w:rFonts w:hint="default" w:ascii="仿宋_GB2312" w:hAnsi="Times New Roman" w:eastAsia="方正仿宋简体" w:cs="Times New Roman"/>
          <w:sz w:val="32"/>
          <w:szCs w:val="32"/>
          <w:lang w:val="en-US" w:eastAsia="zh-CN"/>
        </w:rPr>
      </w:pPr>
      <w:r>
        <w:rPr>
          <w:rFonts w:hint="eastAsia" w:ascii="仿宋_GB2312" w:hAnsi="Times New Roman" w:eastAsia="方正仿宋简体" w:cs="Times New Roman"/>
          <w:sz w:val="32"/>
          <w:szCs w:val="32"/>
        </w:rPr>
        <w:t>承诺编号：                     行政区划代码：</w:t>
      </w:r>
      <w:r>
        <w:rPr>
          <w:rFonts w:hint="eastAsia" w:ascii="仿宋_GB2312" w:hAnsi="Times New Roman" w:eastAsia="方正仿宋简体" w:cs="Times New Roman"/>
          <w:sz w:val="32"/>
          <w:szCs w:val="32"/>
          <w:lang w:val="en-US" w:eastAsia="zh-CN"/>
        </w:rPr>
        <w:t>610104</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1395"/>
        <w:gridCol w:w="564"/>
        <w:gridCol w:w="2519"/>
        <w:gridCol w:w="1410"/>
        <w:gridCol w:w="1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单位名称</w:t>
            </w:r>
          </w:p>
        </w:tc>
        <w:tc>
          <w:tcPr>
            <w:tcW w:w="6345" w:type="dxa"/>
            <w:gridSpan w:val="4"/>
            <w:vAlign w:val="center"/>
          </w:tcPr>
          <w:p>
            <w:pPr>
              <w:jc w:val="center"/>
              <w:rPr>
                <w:rFonts w:hint="eastAsia" w:ascii="仿宋_GB2312" w:hAnsi="Times New Roman" w:eastAsia="方正仿宋简体" w:cs="Times New Roman"/>
                <w:sz w:val="28"/>
                <w:szCs w:val="28"/>
                <w:lang w:eastAsia="zh-CN"/>
              </w:rPr>
            </w:pPr>
            <w:r>
              <w:rPr>
                <w:rFonts w:hint="eastAsia" w:ascii="仿宋_GB2312" w:hAnsi="Times New Roman" w:eastAsia="方正仿宋简体" w:cs="Times New Roman"/>
                <w:sz w:val="28"/>
                <w:szCs w:val="28"/>
                <w:lang w:eastAsia="zh-CN"/>
              </w:rPr>
              <w:t>西安市莲湖区财政局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2544" w:type="dxa"/>
            <w:gridSpan w:val="3"/>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统一社会信用代码</w:t>
            </w:r>
          </w:p>
        </w:tc>
        <w:tc>
          <w:tcPr>
            <w:tcW w:w="5781" w:type="dxa"/>
            <w:gridSpan w:val="3"/>
            <w:vAlign w:val="center"/>
          </w:tcPr>
          <w:p>
            <w:pPr>
              <w:jc w:val="center"/>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116101040133983105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法定代表人</w:t>
            </w:r>
          </w:p>
        </w:tc>
        <w:tc>
          <w:tcPr>
            <w:tcW w:w="3083" w:type="dxa"/>
            <w:gridSpan w:val="2"/>
            <w:vAlign w:val="center"/>
          </w:tcPr>
          <w:p>
            <w:pPr>
              <w:jc w:val="center"/>
              <w:rPr>
                <w:rFonts w:hint="eastAsia" w:ascii="仿宋_GB2312" w:hAnsi="Times New Roman" w:eastAsia="方正仿宋简体" w:cs="Times New Roman"/>
                <w:sz w:val="28"/>
                <w:szCs w:val="28"/>
                <w:lang w:eastAsia="zh-CN"/>
              </w:rPr>
            </w:pPr>
            <w:r>
              <w:rPr>
                <w:rFonts w:hint="eastAsia" w:ascii="仿宋_GB2312" w:hAnsi="Times New Roman" w:eastAsia="方正仿宋简体" w:cs="Times New Roman"/>
                <w:sz w:val="28"/>
                <w:szCs w:val="28"/>
                <w:lang w:eastAsia="zh-CN"/>
              </w:rPr>
              <w:t>孙广卫</w:t>
            </w:r>
          </w:p>
        </w:tc>
        <w:tc>
          <w:tcPr>
            <w:tcW w:w="1410" w:type="dxa"/>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监督电话</w:t>
            </w:r>
          </w:p>
        </w:tc>
        <w:tc>
          <w:tcPr>
            <w:tcW w:w="1852" w:type="dxa"/>
            <w:vAlign w:val="center"/>
          </w:tcPr>
          <w:p>
            <w:pPr>
              <w:jc w:val="center"/>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87613364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4" w:hRule="atLeast"/>
          <w:jc w:val="center"/>
        </w:trPr>
        <w:tc>
          <w:tcPr>
            <w:tcW w:w="585" w:type="dxa"/>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承诺内容</w:t>
            </w:r>
          </w:p>
        </w:tc>
        <w:tc>
          <w:tcPr>
            <w:tcW w:w="7740" w:type="dxa"/>
            <w:gridSpan w:val="5"/>
          </w:tcPr>
          <w:p>
            <w:pPr>
              <w:rPr>
                <w:rFonts w:hint="eastAsia"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 xml:space="preserve">  为更好落实政务诚信建设要求，推进财政公开，打造透明政府，践行诚信承诺，增强政府信用，建立优化提升营商环境长效机制，现就财政局政务诚信公开承诺如下：</w:t>
            </w:r>
          </w:p>
          <w:p>
            <w:pPr>
              <w:numPr>
                <w:ilvl w:val="0"/>
                <w:numId w:val="1"/>
              </w:numPr>
              <w:ind w:left="420" w:leftChars="0" w:firstLine="0" w:firstLineChars="0"/>
              <w:rPr>
                <w:rFonts w:hint="eastAsia"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积极推进依法理财，建设法治财政。严格执行国家有关法律、法规和政策，健全财政管理制度，完善内部运转程序，规范财政收支运行和财政财务管理，保证财政资金管理规范、安全、高效。</w:t>
            </w:r>
          </w:p>
          <w:p>
            <w:pPr>
              <w:numPr>
                <w:ilvl w:val="0"/>
                <w:numId w:val="1"/>
              </w:numPr>
              <w:ind w:left="420" w:leftChars="0" w:firstLine="0" w:firstLineChars="0"/>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严格执行预算约束，增强预算透明度；积极推进公共服务均等化，促进财政支出向公共服务领域倾斜，全面落实各项惠民政策，促进社会和谐；加强财政科学化，精细化管理，建立预算编制、预算执行、绩效管理、财政监督“四位一体”的财政运行机制，充分发挥财政服务于全区经济跨越式发展的职能作用，为促进我区经济社会又好又快发展做贡献。</w:t>
            </w:r>
          </w:p>
          <w:p>
            <w:pPr>
              <w:numPr>
                <w:ilvl w:val="0"/>
                <w:numId w:val="1"/>
              </w:numPr>
              <w:ind w:left="420" w:leftChars="0" w:firstLine="0" w:firstLineChars="0"/>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强化服务意识，端正服务态度，兑现服务承诺，改进工作作风，简化工作程序。工作中坚持文明用语、礼貌待人、热忱服务；实行定岗定责和AB岗制度，确保角色有替补，工作不间断；严格落实限时办结制，不推诿、不扯皮，提升办事效率。</w:t>
            </w:r>
          </w:p>
          <w:p>
            <w:pPr>
              <w:numPr>
                <w:ilvl w:val="0"/>
                <w:numId w:val="1"/>
              </w:numPr>
              <w:ind w:left="420" w:leftChars="0" w:firstLine="0" w:firstLineChars="0"/>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严格执行政府信息公开有关规定，除涉密事项外一律予以公开；实行持证上岗，规范行政行为，建立监督机制，设立公开投诉举报电话，主动接受社会和公众的监督。</w:t>
            </w:r>
          </w:p>
          <w:p>
            <w:pPr>
              <w:numPr>
                <w:ilvl w:val="0"/>
                <w:numId w:val="1"/>
              </w:numPr>
              <w:ind w:left="420" w:leftChars="0" w:firstLine="0" w:firstLineChars="0"/>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进一步完善财政内部监督制约机制，不断加大对权力运行监督力度，切实发挥制度在保障财政资金和推进财政党风廉政建设方面的重要作用；严格遵守党政干部廉洁自律准则；对在工作中违法、违纪、以权谋私的有关人员进行严肃查处，绝不姑息迁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20" w:hRule="atLeast"/>
          <w:jc w:val="center"/>
        </w:trPr>
        <w:tc>
          <w:tcPr>
            <w:tcW w:w="1980" w:type="dxa"/>
            <w:gridSpan w:val="2"/>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投诉举报邮箱</w:t>
            </w:r>
          </w:p>
        </w:tc>
        <w:tc>
          <w:tcPr>
            <w:tcW w:w="6345" w:type="dxa"/>
            <w:gridSpan w:val="4"/>
          </w:tcPr>
          <w:p>
            <w:pPr>
              <w:jc w:val="center"/>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lianhuczj@163.com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公示网站网址</w:t>
            </w:r>
          </w:p>
        </w:tc>
        <w:tc>
          <w:tcPr>
            <w:tcW w:w="6345" w:type="dxa"/>
            <w:gridSpan w:val="4"/>
          </w:tcPr>
          <w:p>
            <w:pPr>
              <w:jc w:val="center"/>
              <w:rPr>
                <w:rFonts w:hint="default" w:ascii="仿宋_GB2312" w:hAnsi="Times New Roman" w:eastAsia="方正仿宋简体" w:cs="Times New Roman"/>
                <w:sz w:val="28"/>
                <w:szCs w:val="28"/>
                <w:lang w:val="en-US" w:eastAsia="zh-CN"/>
              </w:rPr>
            </w:pPr>
            <w:r>
              <w:rPr>
                <w:rFonts w:hint="eastAsia" w:ascii="仿宋_GB2312" w:hAnsi="Times New Roman" w:eastAsia="方正仿宋简体" w:cs="Times New Roman"/>
                <w:sz w:val="28"/>
                <w:szCs w:val="28"/>
                <w:lang w:val="en-US" w:eastAsia="zh-CN"/>
              </w:rPr>
              <w:t>www.lianhu.gov.cn</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签发人</w:t>
            </w:r>
          </w:p>
        </w:tc>
        <w:tc>
          <w:tcPr>
            <w:tcW w:w="6345" w:type="dxa"/>
            <w:gridSpan w:val="4"/>
          </w:tcPr>
          <w:p>
            <w:pPr>
              <w:rPr>
                <w:rFonts w:ascii="仿宋_GB2312" w:hAnsi="Times New Roman" w:eastAsia="方正仿宋简体" w:cs="Times New Roman"/>
                <w:sz w:val="28"/>
                <w:szCs w:val="28"/>
              </w:rPr>
            </w:pPr>
          </w:p>
          <w:p>
            <w:pPr>
              <w:jc w:val="right"/>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980" w:type="dxa"/>
            <w:gridSpan w:val="2"/>
            <w:vAlign w:val="center"/>
          </w:tcPr>
          <w:p>
            <w:pPr>
              <w:jc w:val="center"/>
              <w:rPr>
                <w:rFonts w:ascii="仿宋_GB2312" w:hAnsi="Times New Roman" w:eastAsia="方正仿宋简体" w:cs="Times New Roman"/>
                <w:sz w:val="28"/>
                <w:szCs w:val="28"/>
              </w:rPr>
            </w:pPr>
            <w:r>
              <w:rPr>
                <w:rFonts w:hint="eastAsia" w:ascii="仿宋_GB2312" w:hAnsi="Times New Roman" w:eastAsia="方正仿宋简体" w:cs="Times New Roman"/>
                <w:sz w:val="28"/>
                <w:szCs w:val="28"/>
              </w:rPr>
              <w:t>备  注</w:t>
            </w:r>
          </w:p>
        </w:tc>
        <w:tc>
          <w:tcPr>
            <w:tcW w:w="6345" w:type="dxa"/>
            <w:gridSpan w:val="4"/>
          </w:tcPr>
          <w:p>
            <w:pPr>
              <w:rPr>
                <w:rFonts w:ascii="仿宋_GB2312" w:hAnsi="Times New Roman" w:eastAsia="方正仿宋简体" w:cs="Times New Roman"/>
                <w:sz w:val="28"/>
                <w:szCs w:val="28"/>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w:panose1 w:val="020F0502020204030204"/>
    <w:charset w:val="00"/>
    <w:family w:val="swiss"/>
    <w:pitch w:val="default"/>
    <w:sig w:usb0="00000000" w:usb1="00000000" w:usb2="00000001" w:usb3="00000000" w:csb0="0000019F" w:csb1="00000000"/>
  </w:font>
  <w:font w:name="等线">
    <w:altName w:val="宋体"/>
    <w:panose1 w:val="02010600030101010101"/>
    <w:charset w:val="86"/>
    <w:family w:val="auto"/>
    <w:pitch w:val="default"/>
    <w:sig w:usb0="00000000" w:usb1="00000000" w:usb2="00000016" w:usb3="00000000" w:csb0="0004000F" w:csb1="00000000"/>
  </w:font>
  <w:font w:name="等线">
    <w:altName w:val="宋体"/>
    <w:panose1 w:val="00000000000000000000"/>
    <w:charset w:val="86"/>
    <w:family w:val="auto"/>
    <w:pitch w:val="default"/>
    <w:sig w:usb0="00000000" w:usb1="00000000" w:usb2="00000000" w:usb3="00000000" w:csb0="00000000" w:csb1="00000000"/>
  </w:font>
  <w:font w:name="等线">
    <w:altName w:val="Courier New"/>
    <w:panose1 w:val="00000000000000000000"/>
    <w:charset w:val="00"/>
    <w:family w:val="auto"/>
    <w:pitch w:val="default"/>
    <w:sig w:usb0="00000000" w:usb1="00000000" w:usb2="00000000" w:usb3="00000000" w:csb0="00000000"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10" w:usb3="00000000" w:csb0="00040000" w:csb1="00000000"/>
  </w:font>
  <w:font w:name="Courier New">
    <w:panose1 w:val="02070309020205020404"/>
    <w:charset w:val="00"/>
    <w:family w:val="auto"/>
    <w:pitch w:val="default"/>
    <w:sig w:usb0="00007A87" w:usb1="80000000" w:usb2="00000008" w:usb3="00000000" w:csb0="400001FF" w:csb1="FFFF0000"/>
  </w:font>
  <w:font w:name="Tahoma">
    <w:panose1 w:val="020B0604030504040204"/>
    <w:charset w:val="00"/>
    <w:family w:val="auto"/>
    <w:pitch w:val="default"/>
    <w:sig w:usb0="61007A87" w:usb1="80000000" w:usb2="00000008" w:usb3="00000000" w:csb0="200101FF" w:csb1="20280000"/>
  </w:font>
  <w:font w:name="Lucida Sans">
    <w:panose1 w:val="020B0602030504020204"/>
    <w:charset w:val="00"/>
    <w:family w:val="auto"/>
    <w:pitch w:val="default"/>
    <w:sig w:usb0="00000000" w:usb1="00000000" w:usb2="00000000" w:usb3="00000000" w:csb0="00000000" w:csb1="00000000"/>
  </w:font>
  <w:font w:name="方正仿宋简体">
    <w:altName w:val="宋体"/>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AB2110"/>
    <w:multiLevelType w:val="singleLevel"/>
    <w:tmpl w:val="23AB2110"/>
    <w:lvl w:ilvl="0" w:tentative="0">
      <w:start w:val="1"/>
      <w:numFmt w:val="chineseCounting"/>
      <w:suff w:val="nothing"/>
      <w:lvlText w:val="%1、"/>
      <w:lvlJc w:val="left"/>
      <w:pPr>
        <w:ind w:left="420" w:leftChars="0" w:firstLine="0" w:firstLineChars="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045"/>
    <w:rsid w:val="003535AD"/>
    <w:rsid w:val="00432045"/>
    <w:rsid w:val="008831A3"/>
    <w:rsid w:val="00CE6CBE"/>
    <w:rsid w:val="00F721ED"/>
    <w:rsid w:val="355D7B3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18</Words>
  <Characters>105</Characters>
  <Lines>1</Lines>
  <Paragraphs>1</Paragraphs>
  <TotalTime>24</TotalTime>
  <ScaleCrop>false</ScaleCrop>
  <LinksUpToDate>false</LinksUpToDate>
  <CharactersWithSpaces>122</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2020-08-05T01:43:00Z</dcterms:created>
  <dc:creator>荣 兴瑞</dc:creator>
  <cp:lastModifiedBy>Administrator</cp:lastModifiedBy>
  <dcterms:modified xsi:type="dcterms:W3CDTF">2020-09-01T01:03:24Z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